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 w:val="24"/>
          <w:szCs w:val="24"/>
        </w:rPr>
      </w:pPr>
      <w:bookmarkStart w:id="0" w:name="_Toc452478191"/>
      <w:bookmarkStart w:id="1" w:name="_Toc229396207"/>
      <w:bookmarkStart w:id="5" w:name="_GoBack"/>
      <w:bookmarkEnd w:id="5"/>
      <w:r>
        <w:rPr>
          <w:rFonts w:hint="eastAsia"/>
          <w:sz w:val="24"/>
          <w:szCs w:val="24"/>
        </w:rPr>
        <w:t>泰康在线财产保险股份有限公司</w:t>
      </w:r>
    </w:p>
    <w:p>
      <w:pPr>
        <w:pStyle w:val="6"/>
        <w:rPr>
          <w:rFonts w:ascii="宋体" w:hAnsi="宋体"/>
          <w:b w:val="0"/>
          <w:sz w:val="24"/>
          <w:szCs w:val="24"/>
        </w:rPr>
      </w:pPr>
      <w:r>
        <w:rPr>
          <w:rFonts w:hint="eastAsia"/>
          <w:sz w:val="24"/>
          <w:szCs w:val="24"/>
        </w:rPr>
        <w:t>附加境外旅行托运行李延误保险条款</w:t>
      </w:r>
      <w:bookmarkEnd w:id="0"/>
    </w:p>
    <w:p>
      <w:pPr>
        <w:pStyle w:val="6"/>
        <w:rPr>
          <w:sz w:val="21"/>
          <w:szCs w:val="21"/>
        </w:rPr>
      </w:pPr>
    </w:p>
    <w:p>
      <w:pPr>
        <w:adjustRightInd w:val="0"/>
        <w:snapToGrid w:val="0"/>
        <w:spacing w:afterLines="50"/>
        <w:ind w:right="-45"/>
        <w:jc w:val="center"/>
        <w:rPr>
          <w:rFonts w:ascii="宋体" w:hAnsi="宋体"/>
          <w:b/>
          <w:szCs w:val="21"/>
        </w:rPr>
      </w:pPr>
      <w:r>
        <w:rPr>
          <w:rFonts w:hint="eastAsia" w:ascii="宋体" w:hAnsi="宋体"/>
          <w:b/>
          <w:szCs w:val="21"/>
        </w:rPr>
        <w:t>总则</w:t>
      </w:r>
    </w:p>
    <w:p>
      <w:pPr>
        <w:pStyle w:val="13"/>
        <w:numPr>
          <w:ilvl w:val="0"/>
          <w:numId w:val="2"/>
        </w:numPr>
        <w:snapToGrid w:val="0"/>
        <w:spacing w:afterLines="50"/>
        <w:ind w:firstLineChars="200"/>
        <w:rPr>
          <w:rFonts w:ascii="宋体" w:hAnsi="宋体" w:cs="宋体"/>
          <w:color w:val="222222"/>
        </w:rPr>
      </w:pPr>
      <w:r>
        <w:rPr>
          <w:rFonts w:hint="eastAsia" w:ascii="宋体" w:hAnsi="宋体" w:cs="宋体"/>
          <w:color w:val="222222"/>
        </w:rPr>
        <w:t>本附加保险合同须附加于境外旅行意外伤害保险合同（以下简称“主保险合同”）。主保险合同所附条款、投保单、保险单、保险凭证以及批单等，凡与本附加保险合同相关者，均为本附加保险合同的构成部分。凡涉及本附加保险合同的约定，均应采用书面或电子形式。</w:t>
      </w:r>
    </w:p>
    <w:p>
      <w:pPr>
        <w:adjustRightInd w:val="0"/>
        <w:snapToGrid w:val="0"/>
        <w:spacing w:afterLines="50"/>
        <w:ind w:firstLine="422" w:firstLineChars="200"/>
        <w:rPr>
          <w:rFonts w:ascii="宋体" w:hAnsi="宋体"/>
          <w:b/>
          <w:color w:val="000000"/>
          <w:szCs w:val="21"/>
        </w:rPr>
      </w:pPr>
      <w:r>
        <w:rPr>
          <w:rFonts w:hint="eastAsia" w:ascii="宋体" w:hAnsi="宋体"/>
          <w:b/>
          <w:bCs/>
          <w:color w:val="000000"/>
          <w:szCs w:val="21"/>
        </w:rPr>
        <w:t>若主保险合同与本附加保险合同的条款互有冲突，则以本附加保险合同的条款为准。</w:t>
      </w:r>
      <w:r>
        <w:rPr>
          <w:rFonts w:hint="eastAsia" w:ascii="宋体" w:hAnsi="宋体"/>
          <w:b/>
          <w:color w:val="000000"/>
          <w:szCs w:val="21"/>
        </w:rPr>
        <w:t>本附加保险合同未尽事宜，以主保险合同的条款规定为准。</w:t>
      </w:r>
    </w:p>
    <w:p>
      <w:pPr>
        <w:pStyle w:val="13"/>
        <w:numPr>
          <w:ilvl w:val="0"/>
          <w:numId w:val="2"/>
        </w:numPr>
        <w:snapToGrid w:val="0"/>
        <w:spacing w:afterLines="50"/>
        <w:ind w:firstLineChars="200"/>
        <w:rPr>
          <w:rFonts w:ascii="宋体" w:hAnsi="宋体"/>
          <w:b/>
          <w:color w:val="000000"/>
        </w:rPr>
      </w:pPr>
      <w:r>
        <w:rPr>
          <w:rFonts w:hint="eastAsia" w:ascii="宋体" w:hAnsi="宋体"/>
          <w:kern w:val="0"/>
        </w:rPr>
        <w:t>本附加保险合同的投保人和被保险人与主保险合同一致。</w:t>
      </w:r>
    </w:p>
    <w:p>
      <w:pPr>
        <w:adjustRightInd w:val="0"/>
        <w:snapToGrid w:val="0"/>
        <w:spacing w:afterLines="50"/>
        <w:ind w:right="-47" w:firstLine="422" w:firstLineChars="200"/>
        <w:jc w:val="center"/>
        <w:rPr>
          <w:rFonts w:ascii="宋体" w:hAnsi="宋体"/>
          <w:b/>
          <w:szCs w:val="21"/>
        </w:rPr>
      </w:pPr>
    </w:p>
    <w:p>
      <w:pPr>
        <w:adjustRightInd w:val="0"/>
        <w:snapToGrid w:val="0"/>
        <w:spacing w:afterLines="50"/>
        <w:ind w:right="-45"/>
        <w:jc w:val="center"/>
        <w:rPr>
          <w:rFonts w:ascii="宋体" w:hAnsi="宋体"/>
          <w:b/>
          <w:szCs w:val="21"/>
        </w:rPr>
      </w:pPr>
      <w:r>
        <w:rPr>
          <w:rFonts w:hint="eastAsia" w:ascii="宋体" w:hAnsi="宋体"/>
          <w:b/>
          <w:szCs w:val="21"/>
        </w:rPr>
        <w:t>保险责任</w:t>
      </w:r>
      <w:bookmarkEnd w:id="1"/>
    </w:p>
    <w:p>
      <w:pPr>
        <w:pStyle w:val="13"/>
        <w:numPr>
          <w:ilvl w:val="0"/>
          <w:numId w:val="2"/>
        </w:numPr>
        <w:adjustRightInd w:val="0"/>
        <w:snapToGrid w:val="0"/>
        <w:spacing w:afterLines="50"/>
        <w:ind w:firstLineChars="200"/>
        <w:jc w:val="left"/>
        <w:rPr>
          <w:rFonts w:ascii="宋体" w:hAnsi="宋体"/>
          <w:b/>
        </w:rPr>
      </w:pPr>
      <w:r>
        <w:rPr>
          <w:rFonts w:hint="eastAsia" w:ascii="宋体" w:hAnsi="宋体" w:cs="宋体"/>
          <w:color w:val="222222"/>
        </w:rPr>
        <w:t>本附加保险合同保险期间内，如果被保险人赴境外旅行期间的</w:t>
      </w:r>
      <w:r>
        <w:rPr>
          <w:rFonts w:hint="eastAsia" w:ascii="宋体" w:hAnsi="宋体" w:cs="宋体"/>
          <w:b/>
          <w:color w:val="222222"/>
        </w:rPr>
        <w:t>托运行李</w:t>
      </w:r>
      <w:r>
        <w:rPr>
          <w:rFonts w:hint="eastAsia" w:ascii="宋体" w:hAnsi="宋体" w:cs="宋体"/>
          <w:color w:val="222222"/>
        </w:rPr>
        <w:t>在其所乘的</w:t>
      </w:r>
      <w:r>
        <w:rPr>
          <w:rFonts w:hint="eastAsia" w:ascii="宋体" w:hAnsi="宋体" w:cs="宋体"/>
          <w:b/>
          <w:color w:val="222222"/>
        </w:rPr>
        <w:t>公共交通工具</w:t>
      </w:r>
      <w:r>
        <w:rPr>
          <w:rFonts w:hint="eastAsia" w:ascii="宋体" w:hAnsi="宋体" w:cs="宋体"/>
          <w:color w:val="222222"/>
        </w:rPr>
        <w:t>抵达预定目的地后，在保险单载明的</w:t>
      </w:r>
      <w:r>
        <w:rPr>
          <w:rFonts w:ascii="宋体" w:hAnsi="宋体" w:cs="宋体"/>
          <w:color w:val="222222"/>
        </w:rPr>
        <w:t>时间限度</w:t>
      </w:r>
      <w:r>
        <w:rPr>
          <w:rFonts w:hint="eastAsia" w:ascii="宋体" w:hAnsi="宋体" w:cs="宋体"/>
          <w:color w:val="222222"/>
        </w:rPr>
        <w:t>内未送抵的，保险人按照约定以保险单上所载本附加保险合同项下相应的保险金额给付保险金。</w:t>
      </w:r>
      <w:bookmarkStart w:id="2" w:name="_Toc229396208"/>
    </w:p>
    <w:p>
      <w:pPr>
        <w:adjustRightInd w:val="0"/>
        <w:snapToGrid w:val="0"/>
        <w:spacing w:afterLines="50"/>
        <w:ind w:right="-47" w:firstLine="422" w:firstLineChars="200"/>
        <w:jc w:val="center"/>
        <w:rPr>
          <w:rFonts w:ascii="宋体" w:hAnsi="宋体"/>
          <w:b/>
          <w:szCs w:val="21"/>
        </w:rPr>
      </w:pPr>
    </w:p>
    <w:p>
      <w:pPr>
        <w:adjustRightInd w:val="0"/>
        <w:snapToGrid w:val="0"/>
        <w:spacing w:afterLines="50"/>
        <w:ind w:right="-45"/>
        <w:jc w:val="center"/>
        <w:rPr>
          <w:rFonts w:ascii="宋体" w:hAnsi="宋体"/>
          <w:b/>
          <w:szCs w:val="21"/>
        </w:rPr>
      </w:pPr>
      <w:r>
        <w:rPr>
          <w:rFonts w:hint="eastAsia" w:ascii="宋体" w:hAnsi="宋体"/>
          <w:b/>
          <w:szCs w:val="21"/>
        </w:rPr>
        <w:t>责任免除</w:t>
      </w:r>
      <w:bookmarkEnd w:id="2"/>
    </w:p>
    <w:p>
      <w:pPr>
        <w:pStyle w:val="13"/>
        <w:numPr>
          <w:ilvl w:val="0"/>
          <w:numId w:val="2"/>
        </w:numPr>
        <w:snapToGrid w:val="0"/>
        <w:spacing w:afterLines="50"/>
        <w:ind w:firstLine="422" w:firstLineChars="200"/>
        <w:rPr>
          <w:rFonts w:ascii="宋体" w:hAnsi="宋体" w:cs="宋体"/>
          <w:b/>
          <w:color w:val="222222"/>
        </w:rPr>
      </w:pPr>
      <w:r>
        <w:rPr>
          <w:rFonts w:hint="eastAsia" w:ascii="宋体" w:hAnsi="宋体" w:cs="宋体"/>
          <w:b/>
          <w:color w:val="222222"/>
        </w:rPr>
        <w:t>下列原因导致的延误或发生下列情形的，保险人不承担赔偿责任：</w:t>
      </w:r>
    </w:p>
    <w:p>
      <w:pPr>
        <w:adjustRightInd w:val="0"/>
        <w:snapToGrid w:val="0"/>
        <w:spacing w:afterLines="50"/>
        <w:ind w:firstLine="422" w:firstLineChars="200"/>
        <w:rPr>
          <w:rFonts w:ascii="宋体" w:hAnsi="宋体"/>
          <w:b/>
          <w:szCs w:val="21"/>
          <w:lang w:val="en-GB"/>
        </w:rPr>
      </w:pPr>
      <w:r>
        <w:rPr>
          <w:rFonts w:hint="eastAsia" w:ascii="宋体" w:hAnsi="宋体"/>
          <w:b/>
          <w:szCs w:val="21"/>
          <w:lang w:val="en-GB"/>
        </w:rPr>
        <w:t>（一）行政行为或执法行为，包括被保险人的托运行李被</w:t>
      </w:r>
      <w:r>
        <w:rPr>
          <w:rFonts w:hint="eastAsia" w:ascii="宋体" w:hAnsi="宋体"/>
          <w:b/>
          <w:szCs w:val="21"/>
        </w:rPr>
        <w:t>海关</w:t>
      </w:r>
      <w:r>
        <w:rPr>
          <w:rFonts w:hint="eastAsia" w:ascii="宋体" w:hAnsi="宋体"/>
          <w:b/>
          <w:szCs w:val="21"/>
          <w:lang w:val="en-GB"/>
        </w:rPr>
        <w:t>或其他政府部门沒收、扣留、隔离、检验或销毁；</w:t>
      </w:r>
    </w:p>
    <w:p>
      <w:pPr>
        <w:adjustRightInd w:val="0"/>
        <w:snapToGrid w:val="0"/>
        <w:spacing w:afterLines="50"/>
        <w:ind w:firstLine="422" w:firstLineChars="200"/>
        <w:rPr>
          <w:rFonts w:ascii="宋体" w:hAnsi="宋体"/>
          <w:b/>
          <w:szCs w:val="21"/>
          <w:lang w:val="en-GB"/>
        </w:rPr>
      </w:pPr>
      <w:r>
        <w:rPr>
          <w:rFonts w:hint="eastAsia" w:ascii="宋体" w:hAnsi="宋体"/>
          <w:b/>
          <w:szCs w:val="21"/>
          <w:lang w:val="en-GB"/>
        </w:rPr>
        <w:t>（二）</w:t>
      </w:r>
      <w:r>
        <w:rPr>
          <w:rFonts w:hint="eastAsia" w:ascii="宋体" w:hAnsi="宋体"/>
          <w:b/>
          <w:szCs w:val="21"/>
          <w:lang w:val="zh-CN"/>
        </w:rPr>
        <w:t>战争、内战、军事行动、恐怖活动、罢工、暴乱、武装叛乱、核爆炸、核辐射或核污染；</w:t>
      </w:r>
    </w:p>
    <w:p>
      <w:pPr>
        <w:adjustRightInd w:val="0"/>
        <w:snapToGrid w:val="0"/>
        <w:spacing w:afterLines="50"/>
        <w:ind w:firstLine="422" w:firstLineChars="200"/>
        <w:rPr>
          <w:rFonts w:ascii="宋体" w:hAnsi="宋体"/>
          <w:b/>
          <w:szCs w:val="21"/>
          <w:lang w:val="zh-CN"/>
        </w:rPr>
      </w:pPr>
      <w:r>
        <w:rPr>
          <w:rFonts w:hint="eastAsia" w:ascii="宋体" w:hAnsi="宋体"/>
          <w:b/>
          <w:szCs w:val="21"/>
          <w:lang w:val="zh-CN"/>
        </w:rPr>
        <w:t>（三）被保险人自身的故意或过失行为；</w:t>
      </w:r>
    </w:p>
    <w:p>
      <w:pPr>
        <w:adjustRightInd w:val="0"/>
        <w:snapToGrid w:val="0"/>
        <w:spacing w:afterLines="50"/>
        <w:ind w:firstLine="422" w:firstLineChars="200"/>
        <w:rPr>
          <w:rFonts w:ascii="宋体" w:hAnsi="宋体"/>
          <w:b/>
          <w:szCs w:val="21"/>
          <w:lang w:val="zh-CN"/>
        </w:rPr>
      </w:pPr>
      <w:r>
        <w:rPr>
          <w:rFonts w:hint="eastAsia" w:ascii="宋体" w:hAnsi="宋体"/>
          <w:b/>
          <w:szCs w:val="21"/>
          <w:lang w:val="zh-CN"/>
        </w:rPr>
        <w:t>（四）被保险人留置其行李于</w:t>
      </w:r>
      <w:r>
        <w:rPr>
          <w:rFonts w:hint="eastAsia" w:ascii="宋体" w:hAnsi="宋体"/>
          <w:b/>
          <w:szCs w:val="21"/>
          <w:lang w:val="en-GB"/>
        </w:rPr>
        <w:t>承运人</w:t>
      </w:r>
      <w:r>
        <w:rPr>
          <w:rFonts w:hint="eastAsia" w:ascii="宋体" w:hAnsi="宋体"/>
          <w:b/>
          <w:szCs w:val="21"/>
          <w:lang w:val="zh-CN"/>
        </w:rPr>
        <w:t>或其代理人。</w:t>
      </w:r>
    </w:p>
    <w:p>
      <w:pPr>
        <w:pStyle w:val="13"/>
        <w:numPr>
          <w:ilvl w:val="0"/>
          <w:numId w:val="2"/>
        </w:numPr>
        <w:snapToGrid w:val="0"/>
        <w:spacing w:afterLines="50"/>
        <w:ind w:firstLine="422" w:firstLineChars="200"/>
        <w:rPr>
          <w:rFonts w:ascii="宋体" w:hAnsi="宋体" w:cs="宋体"/>
          <w:b/>
          <w:color w:val="222222"/>
        </w:rPr>
      </w:pPr>
      <w:r>
        <w:rPr>
          <w:rFonts w:hint="eastAsia" w:ascii="宋体" w:hAnsi="宋体" w:cs="宋体"/>
          <w:b/>
          <w:color w:val="222222"/>
        </w:rPr>
        <w:t>在行李未办理托运手续的情形下，保险人不承担赔偿责任。</w:t>
      </w:r>
    </w:p>
    <w:p>
      <w:pPr>
        <w:pStyle w:val="13"/>
        <w:numPr>
          <w:ilvl w:val="0"/>
          <w:numId w:val="2"/>
        </w:numPr>
        <w:adjustRightInd w:val="0"/>
        <w:snapToGrid w:val="0"/>
        <w:spacing w:afterLines="50"/>
        <w:ind w:right="-47" w:firstLine="422" w:firstLineChars="200"/>
        <w:jc w:val="center"/>
        <w:rPr>
          <w:rFonts w:ascii="宋体" w:hAnsi="宋体"/>
          <w:b/>
        </w:rPr>
      </w:pPr>
      <w:r>
        <w:rPr>
          <w:rFonts w:hint="eastAsia" w:ascii="宋体" w:hAnsi="宋体" w:cs="宋体"/>
          <w:b/>
          <w:color w:val="222222"/>
        </w:rPr>
        <w:t>非于被保险人旅行前或旅行时托运的行李，不在本附加保险合同责任范围内。</w:t>
      </w:r>
      <w:bookmarkStart w:id="3" w:name="_Toc229396209"/>
    </w:p>
    <w:p>
      <w:pPr>
        <w:adjustRightInd w:val="0"/>
        <w:snapToGrid w:val="0"/>
        <w:spacing w:afterLines="50"/>
        <w:ind w:right="-47" w:firstLine="422" w:firstLineChars="200"/>
        <w:jc w:val="center"/>
        <w:rPr>
          <w:rFonts w:ascii="宋体" w:hAnsi="宋体"/>
          <w:b/>
          <w:szCs w:val="21"/>
        </w:rPr>
      </w:pPr>
    </w:p>
    <w:p>
      <w:pPr>
        <w:adjustRightInd w:val="0"/>
        <w:snapToGrid w:val="0"/>
        <w:spacing w:afterLines="50"/>
        <w:ind w:right="-45"/>
        <w:jc w:val="center"/>
        <w:rPr>
          <w:rFonts w:ascii="宋体" w:hAnsi="宋体"/>
          <w:b/>
          <w:szCs w:val="21"/>
        </w:rPr>
      </w:pPr>
      <w:r>
        <w:rPr>
          <w:rFonts w:hint="eastAsia" w:ascii="宋体" w:hAnsi="宋体"/>
          <w:b/>
          <w:szCs w:val="21"/>
        </w:rPr>
        <w:t>保险金额和保险费</w:t>
      </w:r>
    </w:p>
    <w:p>
      <w:pPr>
        <w:pStyle w:val="13"/>
        <w:numPr>
          <w:ilvl w:val="0"/>
          <w:numId w:val="2"/>
        </w:numPr>
        <w:snapToGrid w:val="0"/>
        <w:spacing w:afterLines="50"/>
        <w:ind w:firstLine="422" w:firstLineChars="200"/>
        <w:rPr>
          <w:rFonts w:ascii="宋体" w:hAnsi="宋体"/>
          <w:lang w:val="en-GB"/>
        </w:rPr>
      </w:pPr>
      <w:r>
        <w:rPr>
          <w:rFonts w:hint="eastAsia" w:ascii="宋体" w:hAnsi="宋体" w:cs="Courier New"/>
          <w:b/>
        </w:rPr>
        <w:t>保险金额是保险人承担给付保险金责任的最高限额。</w:t>
      </w:r>
      <w:r>
        <w:rPr>
          <w:rFonts w:hint="eastAsia" w:ascii="宋体" w:hAnsi="宋体" w:cs="Courier New"/>
        </w:rPr>
        <w:t>本附加保险合同的保险金额由投保人在投保时与保险人约定，并在保险单中载明。</w:t>
      </w:r>
    </w:p>
    <w:p>
      <w:pPr>
        <w:pStyle w:val="13"/>
        <w:numPr>
          <w:ilvl w:val="0"/>
          <w:numId w:val="2"/>
        </w:numPr>
        <w:snapToGrid w:val="0"/>
        <w:spacing w:afterLines="50"/>
        <w:ind w:firstLineChars="200"/>
        <w:rPr>
          <w:rFonts w:ascii="宋体" w:hAnsi="宋体"/>
          <w:lang w:val="en-GB"/>
        </w:rPr>
      </w:pPr>
      <w:r>
        <w:rPr>
          <w:rFonts w:hint="eastAsia" w:ascii="宋体" w:hAnsi="宋体"/>
        </w:rPr>
        <w:t>保险费依据保险金额与保险费率计收，在保险单中载明。投保人应该按照保险合同约定向保险人一次性交纳保险费。</w:t>
      </w:r>
    </w:p>
    <w:bookmarkEnd w:id="3"/>
    <w:p>
      <w:pPr>
        <w:adjustRightInd w:val="0"/>
        <w:snapToGrid w:val="0"/>
        <w:spacing w:before="156" w:afterLines="50"/>
        <w:ind w:right="-45"/>
        <w:jc w:val="center"/>
        <w:rPr>
          <w:rFonts w:ascii="宋体" w:hAnsi="宋体"/>
          <w:b/>
          <w:szCs w:val="21"/>
        </w:rPr>
      </w:pPr>
      <w:r>
        <w:rPr>
          <w:rFonts w:hint="eastAsia" w:ascii="宋体" w:hAnsi="宋体"/>
          <w:b/>
          <w:szCs w:val="21"/>
        </w:rPr>
        <w:t>保险期间</w:t>
      </w:r>
    </w:p>
    <w:p>
      <w:pPr>
        <w:pStyle w:val="13"/>
        <w:numPr>
          <w:ilvl w:val="0"/>
          <w:numId w:val="2"/>
        </w:numPr>
        <w:spacing w:before="156" w:afterLines="50"/>
        <w:ind w:right="-47" w:firstLineChars="200"/>
        <w:jc w:val="left"/>
        <w:rPr>
          <w:rFonts w:ascii="宋体" w:hAnsi="宋体"/>
          <w:b/>
        </w:rPr>
      </w:pPr>
      <w:r>
        <w:rPr>
          <w:rFonts w:hint="eastAsia" w:cs="Times New Roman" w:asciiTheme="minorEastAsia" w:hAnsiTheme="minorEastAsia" w:eastAsiaTheme="minorEastAsia"/>
          <w:kern w:val="0"/>
        </w:rPr>
        <w:t>除另有约定外，本附加</w:t>
      </w:r>
      <w:r>
        <w:rPr>
          <w:rFonts w:hint="eastAsia" w:asciiTheme="minorEastAsia" w:hAnsiTheme="minorEastAsia" w:eastAsiaTheme="minorEastAsia"/>
          <w:kern w:val="0"/>
        </w:rPr>
        <w:t>保</w:t>
      </w:r>
      <w:r>
        <w:rPr>
          <w:rFonts w:hint="eastAsia" w:cs="Times New Roman" w:asciiTheme="minorEastAsia" w:hAnsiTheme="minorEastAsia" w:eastAsiaTheme="minorEastAsia"/>
          <w:kern w:val="0"/>
        </w:rPr>
        <w:t>险合同的保险期间同主保险合同一致。</w:t>
      </w:r>
    </w:p>
    <w:p>
      <w:pPr>
        <w:adjustRightInd w:val="0"/>
        <w:snapToGrid w:val="0"/>
        <w:spacing w:afterLines="50"/>
        <w:ind w:right="-47" w:firstLine="422" w:firstLineChars="200"/>
        <w:jc w:val="center"/>
        <w:rPr>
          <w:rFonts w:ascii="宋体" w:hAnsi="宋体"/>
          <w:b/>
          <w:bCs/>
          <w:szCs w:val="21"/>
        </w:rPr>
      </w:pPr>
    </w:p>
    <w:p>
      <w:pPr>
        <w:adjustRightInd w:val="0"/>
        <w:snapToGrid w:val="0"/>
        <w:spacing w:afterLines="50"/>
        <w:ind w:right="-45"/>
        <w:jc w:val="center"/>
        <w:rPr>
          <w:rFonts w:ascii="宋体" w:hAnsi="宋体"/>
          <w:b/>
          <w:szCs w:val="21"/>
        </w:rPr>
      </w:pPr>
      <w:r>
        <w:rPr>
          <w:rFonts w:hint="eastAsia" w:ascii="宋体" w:hAnsi="宋体"/>
          <w:b/>
          <w:szCs w:val="21"/>
        </w:rPr>
        <w:t>赔偿处理</w:t>
      </w:r>
    </w:p>
    <w:p>
      <w:pPr>
        <w:pStyle w:val="13"/>
        <w:numPr>
          <w:ilvl w:val="0"/>
          <w:numId w:val="2"/>
        </w:numPr>
        <w:snapToGrid w:val="0"/>
        <w:spacing w:afterLines="50"/>
        <w:ind w:firstLineChars="200"/>
        <w:rPr>
          <w:rFonts w:ascii="宋体" w:hAnsi="宋体" w:cs="宋体"/>
          <w:color w:val="222222"/>
        </w:rPr>
      </w:pPr>
      <w:r>
        <w:rPr>
          <w:rFonts w:hint="eastAsia" w:ascii="宋体" w:hAnsi="宋体" w:cs="宋体"/>
          <w:color w:val="222222"/>
        </w:rPr>
        <w:t>保险金申请人有义务要求承运人出具对托运行李延误时间及原因的书面证明文件。</w:t>
      </w:r>
      <w:r>
        <w:rPr>
          <w:rFonts w:hint="eastAsia" w:ascii="宋体" w:hAnsi="宋体" w:cs="宋体"/>
          <w:b/>
          <w:color w:val="222222"/>
        </w:rPr>
        <w:t>保险人承担赔偿的前提条件是保险金申请人提交该书面证明，保险金申请人未能提供该书面证明文件的，保险人不承担给付保险金的责任。</w:t>
      </w:r>
    </w:p>
    <w:p>
      <w:pPr>
        <w:pStyle w:val="13"/>
        <w:numPr>
          <w:ilvl w:val="0"/>
          <w:numId w:val="2"/>
        </w:numPr>
        <w:snapToGrid w:val="0"/>
        <w:spacing w:afterLines="50"/>
        <w:ind w:firstLineChars="200"/>
        <w:rPr>
          <w:rFonts w:ascii="宋体" w:hAnsi="宋体" w:cs="宋体"/>
          <w:color w:val="222222"/>
        </w:rPr>
      </w:pPr>
      <w:r>
        <w:rPr>
          <w:rFonts w:hint="eastAsia" w:ascii="宋体" w:hAnsi="宋体" w:cs="宋体"/>
          <w:color w:val="222222"/>
        </w:rPr>
        <w:t>保险金申请人请求赔偿时，应向保险人提供下列证明和资料：</w:t>
      </w:r>
    </w:p>
    <w:p>
      <w:pPr>
        <w:adjustRightInd w:val="0"/>
        <w:snapToGrid w:val="0"/>
        <w:spacing w:afterLines="50"/>
        <w:ind w:firstLine="420" w:firstLineChars="200"/>
        <w:rPr>
          <w:rFonts w:ascii="宋体" w:hAnsi="宋体"/>
          <w:szCs w:val="21"/>
          <w:lang w:val="en-GB"/>
        </w:rPr>
      </w:pPr>
      <w:r>
        <w:rPr>
          <w:rFonts w:hint="eastAsia" w:ascii="宋体" w:hAnsi="宋体"/>
          <w:szCs w:val="21"/>
          <w:lang w:val="en-GB"/>
        </w:rPr>
        <w:t>（一）保险金给付申请书；</w:t>
      </w:r>
    </w:p>
    <w:p>
      <w:pPr>
        <w:adjustRightInd w:val="0"/>
        <w:snapToGrid w:val="0"/>
        <w:spacing w:afterLines="50"/>
        <w:ind w:firstLine="420" w:firstLineChars="200"/>
        <w:rPr>
          <w:rFonts w:ascii="宋体" w:hAnsi="宋体"/>
          <w:szCs w:val="21"/>
          <w:lang w:val="en-GB"/>
        </w:rPr>
      </w:pPr>
      <w:r>
        <w:rPr>
          <w:rFonts w:hint="eastAsia" w:ascii="宋体" w:hAnsi="宋体"/>
          <w:szCs w:val="21"/>
          <w:lang w:val="en-GB"/>
        </w:rPr>
        <w:t>（二）</w:t>
      </w:r>
      <w:r>
        <w:rPr>
          <w:rFonts w:hint="eastAsia" w:ascii="宋体" w:hAnsi="宋体" w:cs="宋体"/>
          <w:kern w:val="0"/>
        </w:rPr>
        <w:t>保险单或其他保险凭证</w:t>
      </w:r>
      <w:r>
        <w:rPr>
          <w:rFonts w:hint="eastAsia" w:ascii="宋体" w:hAnsi="宋体"/>
          <w:szCs w:val="21"/>
          <w:lang w:val="en-GB"/>
        </w:rPr>
        <w:t>；</w:t>
      </w:r>
    </w:p>
    <w:p>
      <w:pPr>
        <w:adjustRightInd w:val="0"/>
        <w:snapToGrid w:val="0"/>
        <w:spacing w:afterLines="50"/>
        <w:ind w:firstLine="420" w:firstLineChars="200"/>
        <w:rPr>
          <w:rFonts w:ascii="宋体" w:hAnsi="宋体"/>
          <w:szCs w:val="21"/>
          <w:lang w:val="en-GB"/>
        </w:rPr>
      </w:pPr>
      <w:r>
        <w:rPr>
          <w:rFonts w:hint="eastAsia" w:ascii="宋体" w:hAnsi="宋体"/>
          <w:szCs w:val="21"/>
          <w:lang w:val="en-GB"/>
        </w:rPr>
        <w:t>（三）</w:t>
      </w:r>
      <w:r>
        <w:rPr>
          <w:rFonts w:hint="eastAsia" w:ascii="宋体" w:hAnsi="宋体" w:cs="宋体"/>
        </w:rPr>
        <w:t>保险金申请人的有效身份证件</w:t>
      </w:r>
      <w:r>
        <w:rPr>
          <w:rFonts w:hint="eastAsia" w:ascii="宋体" w:hAnsi="宋体"/>
          <w:szCs w:val="21"/>
          <w:lang w:val="en-GB"/>
        </w:rPr>
        <w:t>；</w:t>
      </w:r>
    </w:p>
    <w:p>
      <w:pPr>
        <w:adjustRightInd w:val="0"/>
        <w:snapToGrid w:val="0"/>
        <w:spacing w:afterLines="50"/>
        <w:ind w:firstLine="420" w:firstLineChars="200"/>
        <w:rPr>
          <w:rFonts w:ascii="宋体" w:hAnsi="宋体"/>
          <w:szCs w:val="21"/>
          <w:lang w:val="en-GB"/>
        </w:rPr>
      </w:pPr>
      <w:r>
        <w:rPr>
          <w:rFonts w:hint="eastAsia" w:ascii="宋体" w:hAnsi="宋体"/>
          <w:szCs w:val="21"/>
        </w:rPr>
        <w:t>（四）</w:t>
      </w:r>
      <w:r>
        <w:rPr>
          <w:rFonts w:hint="eastAsia" w:ascii="宋体" w:hAnsi="宋体"/>
          <w:szCs w:val="21"/>
          <w:lang w:val="en-GB"/>
        </w:rPr>
        <w:t>被保险人的交通票据原件，包括机票、登机牌、船票等；</w:t>
      </w:r>
    </w:p>
    <w:p>
      <w:pPr>
        <w:adjustRightInd w:val="0"/>
        <w:snapToGrid w:val="0"/>
        <w:spacing w:afterLines="50"/>
        <w:ind w:firstLine="420" w:firstLineChars="200"/>
        <w:rPr>
          <w:rFonts w:ascii="宋体" w:hAnsi="宋体"/>
          <w:szCs w:val="21"/>
          <w:lang w:val="en-GB"/>
        </w:rPr>
      </w:pPr>
      <w:r>
        <w:rPr>
          <w:rFonts w:hint="eastAsia" w:ascii="宋体" w:hAnsi="宋体"/>
          <w:szCs w:val="21"/>
        </w:rPr>
        <w:t>（五）</w:t>
      </w:r>
      <w:r>
        <w:rPr>
          <w:rFonts w:hint="eastAsia" w:ascii="宋体" w:hAnsi="宋体"/>
          <w:szCs w:val="21"/>
          <w:lang w:val="en-GB"/>
        </w:rPr>
        <w:t>承运人出具的托运行李的手续证明；</w:t>
      </w:r>
    </w:p>
    <w:p>
      <w:pPr>
        <w:adjustRightInd w:val="0"/>
        <w:snapToGrid w:val="0"/>
        <w:spacing w:afterLines="50"/>
        <w:ind w:firstLine="420" w:firstLineChars="200"/>
        <w:rPr>
          <w:rFonts w:ascii="宋体" w:hAnsi="宋体"/>
          <w:szCs w:val="21"/>
          <w:lang w:val="en-GB"/>
        </w:rPr>
      </w:pPr>
      <w:r>
        <w:rPr>
          <w:rFonts w:hint="eastAsia" w:ascii="宋体" w:hAnsi="宋体"/>
          <w:szCs w:val="21"/>
        </w:rPr>
        <w:t>（六）</w:t>
      </w:r>
      <w:r>
        <w:rPr>
          <w:rFonts w:hint="eastAsia" w:ascii="宋体" w:hAnsi="宋体"/>
          <w:szCs w:val="21"/>
          <w:lang w:val="en-GB"/>
        </w:rPr>
        <w:t>承运人出具的关于延误时间及原因的书面证明；</w:t>
      </w:r>
    </w:p>
    <w:p>
      <w:pPr>
        <w:adjustRightInd w:val="0"/>
        <w:snapToGrid w:val="0"/>
        <w:spacing w:afterLines="50"/>
        <w:ind w:firstLine="420" w:firstLineChars="200"/>
        <w:rPr>
          <w:rFonts w:ascii="宋体" w:hAnsi="宋体"/>
          <w:szCs w:val="21"/>
        </w:rPr>
      </w:pPr>
      <w:r>
        <w:rPr>
          <w:rFonts w:hint="eastAsia" w:ascii="宋体" w:hAnsi="宋体"/>
          <w:szCs w:val="21"/>
        </w:rPr>
        <w:t>（七）保险金申请人所能提供的与确认保险事故的性质、原因、损失程度等有关的其他证明和资料；</w:t>
      </w:r>
    </w:p>
    <w:p>
      <w:pPr>
        <w:adjustRightInd w:val="0"/>
        <w:snapToGrid w:val="0"/>
        <w:spacing w:afterLines="50"/>
        <w:ind w:firstLine="420" w:firstLineChars="200"/>
        <w:rPr>
          <w:rFonts w:ascii="宋体" w:hAnsi="宋体"/>
          <w:szCs w:val="21"/>
        </w:rPr>
      </w:pPr>
      <w:r>
        <w:rPr>
          <w:rFonts w:hint="eastAsia" w:ascii="宋体" w:hAnsi="宋体"/>
          <w:szCs w:val="21"/>
        </w:rPr>
        <w:t xml:space="preserve">（八）若保险金申请人委托他人申请的，还应提供授权委托书原件，委托人和受托人的身份证明等相关文件。 </w:t>
      </w:r>
    </w:p>
    <w:p>
      <w:pPr>
        <w:adjustRightInd w:val="0"/>
        <w:snapToGrid w:val="0"/>
        <w:spacing w:afterLines="50"/>
        <w:ind w:firstLine="422" w:firstLineChars="200"/>
        <w:rPr>
          <w:rFonts w:ascii="宋体" w:hAnsi="宋体"/>
          <w:b/>
          <w:szCs w:val="21"/>
          <w:lang w:val="en-GB"/>
        </w:rPr>
      </w:pPr>
      <w:r>
        <w:rPr>
          <w:rFonts w:hint="eastAsia" w:ascii="宋体" w:hAnsi="宋体"/>
          <w:b/>
          <w:szCs w:val="21"/>
        </w:rPr>
        <w:t>保险金申请人未履行前款约定的索赔材料提供义务，导致保险人无法核实损失情况的，保险人对无法核实部分不承担给付保险金责任。</w:t>
      </w:r>
    </w:p>
    <w:p>
      <w:pPr>
        <w:adjustRightInd w:val="0"/>
        <w:snapToGrid w:val="0"/>
        <w:spacing w:afterLines="50"/>
        <w:ind w:right="-47" w:firstLine="422" w:firstLineChars="200"/>
        <w:jc w:val="center"/>
        <w:rPr>
          <w:rFonts w:ascii="宋体" w:hAnsi="宋体"/>
          <w:b/>
          <w:szCs w:val="21"/>
        </w:rPr>
      </w:pPr>
      <w:bookmarkStart w:id="4" w:name="_Toc229396212"/>
    </w:p>
    <w:p>
      <w:pPr>
        <w:adjustRightInd w:val="0"/>
        <w:snapToGrid w:val="0"/>
        <w:spacing w:afterLines="50"/>
        <w:ind w:right="-45"/>
        <w:jc w:val="center"/>
        <w:rPr>
          <w:rFonts w:ascii="宋体" w:hAnsi="宋体"/>
          <w:b/>
          <w:szCs w:val="21"/>
        </w:rPr>
      </w:pPr>
      <w:r>
        <w:rPr>
          <w:rFonts w:hint="eastAsia" w:ascii="宋体" w:hAnsi="宋体"/>
          <w:b/>
          <w:szCs w:val="21"/>
        </w:rPr>
        <w:t>释义</w:t>
      </w:r>
      <w:bookmarkEnd w:id="4"/>
    </w:p>
    <w:p>
      <w:pPr>
        <w:pStyle w:val="13"/>
        <w:numPr>
          <w:ilvl w:val="0"/>
          <w:numId w:val="2"/>
        </w:numPr>
        <w:snapToGrid w:val="0"/>
        <w:spacing w:afterLines="50"/>
        <w:ind w:firstLineChars="200"/>
        <w:rPr>
          <w:rFonts w:ascii="宋体" w:hAnsi="宋体" w:cs="宋体"/>
          <w:color w:val="222222"/>
        </w:rPr>
      </w:pPr>
      <w:r>
        <w:rPr>
          <w:rFonts w:hint="eastAsia" w:ascii="宋体" w:hAnsi="宋体" w:cs="宋体"/>
          <w:color w:val="222222"/>
        </w:rPr>
        <w:t>本附加保险合同涉及下列术语时，适用以下释义：</w:t>
      </w:r>
    </w:p>
    <w:p>
      <w:pPr>
        <w:adjustRightInd w:val="0"/>
        <w:snapToGrid w:val="0"/>
        <w:spacing w:afterLines="50"/>
        <w:ind w:firstLine="420" w:firstLineChars="200"/>
        <w:rPr>
          <w:rFonts w:ascii="宋体" w:hAnsi="宋体"/>
          <w:b/>
          <w:szCs w:val="21"/>
          <w:lang w:val="en-GB"/>
        </w:rPr>
      </w:pPr>
      <w:r>
        <w:rPr>
          <w:rFonts w:hint="eastAsia" w:ascii="宋体" w:hAnsi="宋体"/>
          <w:szCs w:val="21"/>
          <w:lang w:val="en-GB"/>
        </w:rPr>
        <w:t>【公共交通工具】指领有有关政府主管部门依法颁发的公共交通营运执照，以收费方式合法载客的轮船，经营固定航班的航空公司或包机公司经营的固定翼飞机，航空公司所经营的且在两个固定的商业机场之间或有营运执照的商业直升机站之间运营的直升飞机。</w:t>
      </w:r>
      <w:r>
        <w:rPr>
          <w:rFonts w:hint="eastAsia" w:ascii="宋体" w:hAnsi="宋体"/>
          <w:b/>
          <w:szCs w:val="21"/>
          <w:lang w:val="en-GB"/>
        </w:rPr>
        <w:t>用于观光旅行的租赁车、出租车和运输工具以及空中观光旅行工具不属于公共交通方式。</w:t>
      </w:r>
    </w:p>
    <w:p>
      <w:pPr>
        <w:widowControl/>
        <w:spacing w:after="50"/>
        <w:ind w:firstLine="420" w:firstLineChars="200"/>
        <w:jc w:val="left"/>
        <w:rPr>
          <w:rFonts w:ascii="宋体" w:hAnsi="宋体"/>
          <w:szCs w:val="21"/>
          <w:lang w:val="en-GB"/>
        </w:rPr>
      </w:pPr>
      <w:r>
        <w:rPr>
          <w:rFonts w:hint="eastAsia" w:ascii="宋体" w:hAnsi="宋体"/>
          <w:szCs w:val="21"/>
        </w:rPr>
        <w:t>【托运行李】</w:t>
      </w:r>
      <w:r>
        <w:rPr>
          <w:rFonts w:hint="eastAsia" w:ascii="宋体" w:hAnsi="宋体"/>
          <w:szCs w:val="21"/>
          <w:lang w:val="en-GB"/>
        </w:rPr>
        <w:t>指被保险人的交由运输机构托运的箱包，包括包装于其内的物品。托运行李须为被保险人合法拥有。</w:t>
      </w:r>
    </w:p>
    <w:p>
      <w:pPr>
        <w:widowControl/>
        <w:spacing w:after="50"/>
        <w:ind w:firstLine="420" w:firstLineChars="200"/>
        <w:jc w:val="left"/>
        <w:rPr>
          <w:szCs w:val="21"/>
        </w:rPr>
      </w:pPr>
      <w:r>
        <w:rPr>
          <w:rFonts w:hint="eastAsia"/>
          <w:szCs w:val="21"/>
        </w:rPr>
        <w:t>【托运】指委托运输机构运送行李等物品的行为。托运时，托运人应提出货物运单（或托运单），以及其他必要的有关证件（如海关、检疫、卫生、纳税），经运输机构受理后，按规定手续起运。</w:t>
      </w:r>
    </w:p>
    <w:p>
      <w:pPr>
        <w:widowControl/>
        <w:spacing w:afterLines="50"/>
        <w:ind w:firstLine="422" w:firstLineChars="200"/>
        <w:rPr>
          <w:rFonts w:ascii="宋体" w:hAnsi="宋体" w:cs="宋体"/>
          <w:color w:val="000000"/>
          <w:kern w:val="0"/>
          <w:szCs w:val="21"/>
        </w:rPr>
      </w:pPr>
      <w:r>
        <w:rPr>
          <w:rFonts w:hint="eastAsia" w:cs="宋体-WinCharSetFFFF-H" w:asciiTheme="minorEastAsia" w:hAnsiTheme="minorEastAsia"/>
          <w:b/>
          <w:kern w:val="0"/>
          <w:szCs w:val="21"/>
        </w:rPr>
        <w:t>本附加保险合同条款的未释义名词，以本附加保险合同条款所附属主保险合同条款中的释义为准。</w:t>
      </w:r>
    </w:p>
    <w:p>
      <w:pPr>
        <w:widowControl/>
        <w:spacing w:after="50"/>
        <w:ind w:firstLine="420" w:firstLineChars="200"/>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宋体-WinCharSetFFFF-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171955"/>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257A0"/>
    <w:multiLevelType w:val="multilevel"/>
    <w:tmpl w:val="7DC257A0"/>
    <w:lvl w:ilvl="0" w:tentative="0">
      <w:start w:val="1"/>
      <w:numFmt w:val="chineseCountingThousand"/>
      <w:pStyle w:val="13"/>
      <w:suff w:val="nothing"/>
      <w:lvlText w:val="第%1条    "/>
      <w:lvlJc w:val="left"/>
      <w:pPr>
        <w:ind w:left="6" w:firstLine="420"/>
      </w:pPr>
      <w:rPr>
        <w:rFonts w:hint="eastAsia"/>
        <w:b/>
        <w:bCs/>
        <w:color w:val="auto"/>
        <w:sz w:val="21"/>
        <w:szCs w:val="21"/>
      </w:rPr>
    </w:lvl>
    <w:lvl w:ilvl="1" w:tentative="0">
      <w:start w:val="1"/>
      <w:numFmt w:val="lowerLetter"/>
      <w:lvlText w:val="%2)"/>
      <w:lvlJc w:val="left"/>
      <w:pPr>
        <w:ind w:left="-583" w:hanging="420"/>
      </w:pPr>
    </w:lvl>
    <w:lvl w:ilvl="2" w:tentative="0">
      <w:start w:val="1"/>
      <w:numFmt w:val="lowerRoman"/>
      <w:lvlText w:val="%3."/>
      <w:lvlJc w:val="right"/>
      <w:pPr>
        <w:ind w:left="-163" w:hanging="420"/>
      </w:pPr>
    </w:lvl>
    <w:lvl w:ilvl="3" w:tentative="0">
      <w:start w:val="1"/>
      <w:numFmt w:val="decimal"/>
      <w:lvlText w:val="%4."/>
      <w:lvlJc w:val="left"/>
      <w:pPr>
        <w:ind w:left="257" w:hanging="420"/>
      </w:pPr>
    </w:lvl>
    <w:lvl w:ilvl="4" w:tentative="0">
      <w:start w:val="1"/>
      <w:numFmt w:val="lowerLetter"/>
      <w:lvlText w:val="%5)"/>
      <w:lvlJc w:val="left"/>
      <w:pPr>
        <w:ind w:left="677" w:hanging="420"/>
      </w:pPr>
    </w:lvl>
    <w:lvl w:ilvl="5" w:tentative="0">
      <w:start w:val="1"/>
      <w:numFmt w:val="lowerRoman"/>
      <w:lvlText w:val="%6."/>
      <w:lvlJc w:val="right"/>
      <w:pPr>
        <w:ind w:left="1097" w:hanging="420"/>
      </w:pPr>
    </w:lvl>
    <w:lvl w:ilvl="6" w:tentative="0">
      <w:start w:val="1"/>
      <w:numFmt w:val="decimal"/>
      <w:lvlText w:val="%7."/>
      <w:lvlJc w:val="left"/>
      <w:pPr>
        <w:ind w:left="1517" w:hanging="420"/>
      </w:pPr>
    </w:lvl>
    <w:lvl w:ilvl="7" w:tentative="0">
      <w:start w:val="1"/>
      <w:numFmt w:val="lowerLetter"/>
      <w:lvlText w:val="%8)"/>
      <w:lvlJc w:val="left"/>
      <w:pPr>
        <w:ind w:left="1937" w:hanging="420"/>
      </w:pPr>
    </w:lvl>
    <w:lvl w:ilvl="8" w:tentative="0">
      <w:start w:val="1"/>
      <w:numFmt w:val="lowerRoman"/>
      <w:lvlText w:val="%9."/>
      <w:lvlJc w:val="right"/>
      <w:pPr>
        <w:ind w:left="2357"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4E"/>
    <w:rsid w:val="00057E15"/>
    <w:rsid w:val="00065D7C"/>
    <w:rsid w:val="00073C7A"/>
    <w:rsid w:val="000878EE"/>
    <w:rsid w:val="000A6581"/>
    <w:rsid w:val="000E6743"/>
    <w:rsid w:val="00182091"/>
    <w:rsid w:val="00195CDF"/>
    <w:rsid w:val="001A2EFD"/>
    <w:rsid w:val="001B111E"/>
    <w:rsid w:val="001D6E9F"/>
    <w:rsid w:val="001E7C2E"/>
    <w:rsid w:val="001F086F"/>
    <w:rsid w:val="002062B6"/>
    <w:rsid w:val="00230D92"/>
    <w:rsid w:val="002706FF"/>
    <w:rsid w:val="00274CB2"/>
    <w:rsid w:val="0027546E"/>
    <w:rsid w:val="002A7DA0"/>
    <w:rsid w:val="002D1ED2"/>
    <w:rsid w:val="0031439E"/>
    <w:rsid w:val="003234A7"/>
    <w:rsid w:val="00324EE0"/>
    <w:rsid w:val="00344629"/>
    <w:rsid w:val="003763A2"/>
    <w:rsid w:val="003C18E1"/>
    <w:rsid w:val="003E6930"/>
    <w:rsid w:val="00422F8D"/>
    <w:rsid w:val="00423CDE"/>
    <w:rsid w:val="00430505"/>
    <w:rsid w:val="004509FE"/>
    <w:rsid w:val="004546A7"/>
    <w:rsid w:val="00454FDC"/>
    <w:rsid w:val="00471B15"/>
    <w:rsid w:val="004B3689"/>
    <w:rsid w:val="004C626A"/>
    <w:rsid w:val="004F779A"/>
    <w:rsid w:val="005662EC"/>
    <w:rsid w:val="00581CAD"/>
    <w:rsid w:val="00586273"/>
    <w:rsid w:val="005B7CC1"/>
    <w:rsid w:val="0060735D"/>
    <w:rsid w:val="00633518"/>
    <w:rsid w:val="00640D63"/>
    <w:rsid w:val="00690804"/>
    <w:rsid w:val="006A5772"/>
    <w:rsid w:val="006A5915"/>
    <w:rsid w:val="006E77CC"/>
    <w:rsid w:val="00744D52"/>
    <w:rsid w:val="00746912"/>
    <w:rsid w:val="00753A1D"/>
    <w:rsid w:val="007722D7"/>
    <w:rsid w:val="007B2D94"/>
    <w:rsid w:val="007C0524"/>
    <w:rsid w:val="008B49D4"/>
    <w:rsid w:val="008D314E"/>
    <w:rsid w:val="009047C4"/>
    <w:rsid w:val="00920B9B"/>
    <w:rsid w:val="00960BFE"/>
    <w:rsid w:val="009E364B"/>
    <w:rsid w:val="009F5598"/>
    <w:rsid w:val="00A05B36"/>
    <w:rsid w:val="00A07CFD"/>
    <w:rsid w:val="00A20042"/>
    <w:rsid w:val="00A432F3"/>
    <w:rsid w:val="00A71658"/>
    <w:rsid w:val="00AA3A7D"/>
    <w:rsid w:val="00AB5647"/>
    <w:rsid w:val="00AD2A25"/>
    <w:rsid w:val="00AE2FD0"/>
    <w:rsid w:val="00B03E30"/>
    <w:rsid w:val="00B23CE4"/>
    <w:rsid w:val="00B31C84"/>
    <w:rsid w:val="00B42AB9"/>
    <w:rsid w:val="00B57E7D"/>
    <w:rsid w:val="00B638DB"/>
    <w:rsid w:val="00B86254"/>
    <w:rsid w:val="00B94E1E"/>
    <w:rsid w:val="00BA5039"/>
    <w:rsid w:val="00BC72F5"/>
    <w:rsid w:val="00BD3D0C"/>
    <w:rsid w:val="00C02E2A"/>
    <w:rsid w:val="00C07EC6"/>
    <w:rsid w:val="00C1494B"/>
    <w:rsid w:val="00C40850"/>
    <w:rsid w:val="00C63BF4"/>
    <w:rsid w:val="00C77BDD"/>
    <w:rsid w:val="00CA0A00"/>
    <w:rsid w:val="00CA5761"/>
    <w:rsid w:val="00CB63D1"/>
    <w:rsid w:val="00CD56CC"/>
    <w:rsid w:val="00CE014C"/>
    <w:rsid w:val="00D07061"/>
    <w:rsid w:val="00D50232"/>
    <w:rsid w:val="00D77805"/>
    <w:rsid w:val="00D96D29"/>
    <w:rsid w:val="00DD0AFA"/>
    <w:rsid w:val="00DE286B"/>
    <w:rsid w:val="00E01082"/>
    <w:rsid w:val="00E30EFE"/>
    <w:rsid w:val="00E45F17"/>
    <w:rsid w:val="00E53CD6"/>
    <w:rsid w:val="00E552F6"/>
    <w:rsid w:val="00E5706C"/>
    <w:rsid w:val="00E8024E"/>
    <w:rsid w:val="00E955A0"/>
    <w:rsid w:val="00ED20A8"/>
    <w:rsid w:val="00EF4C20"/>
    <w:rsid w:val="00F16ACA"/>
    <w:rsid w:val="00F2062B"/>
    <w:rsid w:val="00F7158C"/>
    <w:rsid w:val="00FA50E1"/>
    <w:rsid w:val="00FB6E60"/>
    <w:rsid w:val="00FC4D8E"/>
    <w:rsid w:val="11A32D58"/>
    <w:rsid w:val="1E076FFB"/>
    <w:rsid w:val="2D855A49"/>
    <w:rsid w:val="375A6AD1"/>
    <w:rsid w:val="4390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0"/>
    <w:pPr>
      <w:spacing w:before="240" w:after="60"/>
      <w:jc w:val="center"/>
      <w:outlineLvl w:val="0"/>
    </w:pPr>
    <w:rPr>
      <w:rFonts w:ascii="Cambria" w:hAnsi="Cambria"/>
      <w:b/>
      <w:bCs/>
      <w:sz w:val="32"/>
      <w:szCs w:val="32"/>
    </w:rPr>
  </w:style>
  <w:style w:type="paragraph" w:styleId="7">
    <w:name w:val="annotation subject"/>
    <w:basedOn w:val="2"/>
    <w:next w:val="2"/>
    <w:link w:val="18"/>
    <w:unhideWhenUsed/>
    <w:qFormat/>
    <w:uiPriority w:val="99"/>
    <w:rPr>
      <w:b/>
      <w:bCs/>
    </w:r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标题 Char"/>
    <w:basedOn w:val="9"/>
    <w:link w:val="6"/>
    <w:uiPriority w:val="0"/>
    <w:rPr>
      <w:rFonts w:ascii="Cambria" w:hAnsi="Cambria" w:eastAsia="宋体" w:cs="Times New Roman"/>
      <w:b/>
      <w:bCs/>
      <w:sz w:val="32"/>
      <w:szCs w:val="32"/>
    </w:rPr>
  </w:style>
  <w:style w:type="paragraph" w:customStyle="1" w:styleId="13">
    <w:name w:val="样式1"/>
    <w:basedOn w:val="1"/>
    <w:qFormat/>
    <w:uiPriority w:val="99"/>
    <w:pPr>
      <w:numPr>
        <w:ilvl w:val="0"/>
        <w:numId w:val="1"/>
      </w:numPr>
    </w:pPr>
    <w:rPr>
      <w:rFonts w:ascii="Calibri" w:hAnsi="Calibri" w:cs="Calibri"/>
      <w:szCs w:val="21"/>
    </w:rPr>
  </w:style>
  <w:style w:type="character" w:customStyle="1" w:styleId="14">
    <w:name w:val="批注框文本 Char"/>
    <w:basedOn w:val="9"/>
    <w:link w:val="3"/>
    <w:semiHidden/>
    <w:uiPriority w:val="99"/>
    <w:rPr>
      <w:rFonts w:ascii="Times New Roman" w:hAnsi="Times New Roman" w:eastAsia="宋体" w:cs="Times New Roman"/>
      <w:sz w:val="18"/>
      <w:szCs w:val="18"/>
    </w:rPr>
  </w:style>
  <w:style w:type="character" w:customStyle="1" w:styleId="15">
    <w:name w:val="页眉 Char"/>
    <w:basedOn w:val="9"/>
    <w:link w:val="5"/>
    <w:semiHidden/>
    <w:qFormat/>
    <w:uiPriority w:val="99"/>
    <w:rPr>
      <w:rFonts w:ascii="Times New Roman" w:hAnsi="Times New Roman" w:eastAsia="宋体" w:cs="Times New Roman"/>
      <w:sz w:val="18"/>
      <w:szCs w:val="18"/>
    </w:rPr>
  </w:style>
  <w:style w:type="character" w:customStyle="1" w:styleId="16">
    <w:name w:val="页脚 Char"/>
    <w:basedOn w:val="9"/>
    <w:link w:val="4"/>
    <w:qFormat/>
    <w:uiPriority w:val="99"/>
    <w:rPr>
      <w:rFonts w:ascii="Times New Roman" w:hAnsi="Times New Roman" w:eastAsia="宋体" w:cs="Times New Roman"/>
      <w:sz w:val="18"/>
      <w:szCs w:val="18"/>
    </w:rPr>
  </w:style>
  <w:style w:type="character" w:customStyle="1" w:styleId="17">
    <w:name w:val="批注文字 Char"/>
    <w:basedOn w:val="9"/>
    <w:link w:val="2"/>
    <w:qFormat/>
    <w:uiPriority w:val="99"/>
    <w:rPr>
      <w:rFonts w:ascii="Times New Roman" w:hAnsi="Times New Roman" w:eastAsia="宋体" w:cs="Times New Roman"/>
      <w:szCs w:val="24"/>
    </w:rPr>
  </w:style>
  <w:style w:type="character" w:customStyle="1" w:styleId="18">
    <w:name w:val="批注主题 Char"/>
    <w:basedOn w:val="17"/>
    <w:link w:val="7"/>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226</Words>
  <Characters>1292</Characters>
  <Lines>10</Lines>
  <Paragraphs>3</Paragraphs>
  <TotalTime>0</TotalTime>
  <ScaleCrop>false</ScaleCrop>
  <LinksUpToDate>false</LinksUpToDate>
  <CharactersWithSpaces>1515</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2018-03-09T08:08:00Z</dcterms:created>
  <dc:creator>wangjy102</dc:creator>
  <cp:lastModifiedBy>靳磊杰</cp:lastModifiedBy>
  <cp:lastPrinted>2016-10-19T02:04:00Z</cp:lastPrinted>
  <dcterms:modified xsi:type="dcterms:W3CDTF">2023-03-16T09:32:24Z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ies>
</file>