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after="156" w:afterLines="50"/>
        <w:rPr>
          <w:rFonts w:ascii="宋体" w:hAnsi="宋体" w:cs="宋体"/>
          <w:sz w:val="24"/>
          <w:szCs w:val="21"/>
        </w:rPr>
      </w:pPr>
      <w:bookmarkStart w:id="1" w:name="_GoBack"/>
      <w:bookmarkEnd w:id="1"/>
      <w:bookmarkStart w:id="0" w:name="_Toc452478181"/>
      <w:r>
        <w:rPr>
          <w:rFonts w:hint="eastAsia" w:ascii="宋体" w:hAnsi="宋体" w:cs="宋体"/>
          <w:sz w:val="24"/>
          <w:szCs w:val="21"/>
        </w:rPr>
        <w:t>泰康在线财产保险股份有限公司</w:t>
      </w:r>
    </w:p>
    <w:p>
      <w:pPr>
        <w:pStyle w:val="11"/>
        <w:spacing w:before="0" w:after="156" w:afterLines="50"/>
        <w:rPr>
          <w:rFonts w:ascii="宋体" w:hAnsi="宋体" w:cs="宋体"/>
          <w:sz w:val="24"/>
          <w:szCs w:val="21"/>
        </w:rPr>
      </w:pPr>
      <w:r>
        <w:rPr>
          <w:rFonts w:hint="eastAsia" w:ascii="宋体" w:hAnsi="宋体" w:cs="宋体"/>
          <w:sz w:val="24"/>
          <w:szCs w:val="21"/>
        </w:rPr>
        <w:t>附加猝死保障保险（互联网专属）条款</w:t>
      </w:r>
      <w:bookmarkEnd w:id="0"/>
    </w:p>
    <w:p>
      <w:pPr>
        <w:spacing w:after="156" w:afterLines="50"/>
        <w:jc w:val="center"/>
        <w:rPr>
          <w:rFonts w:ascii="宋体" w:hAnsi="宋体" w:cs="宋体"/>
          <w:b/>
          <w:szCs w:val="21"/>
        </w:rPr>
      </w:pPr>
    </w:p>
    <w:p>
      <w:pPr>
        <w:pStyle w:val="11"/>
        <w:spacing w:before="0" w:after="156" w:afterLines="50"/>
        <w:rPr>
          <w:rFonts w:ascii="宋体" w:hAnsi="宋体" w:cs="宋体"/>
          <w:sz w:val="21"/>
          <w:szCs w:val="21"/>
        </w:rPr>
      </w:pPr>
      <w:r>
        <w:rPr>
          <w:rFonts w:hint="eastAsia" w:ascii="宋体" w:hAnsi="宋体" w:cs="宋体"/>
          <w:sz w:val="21"/>
          <w:szCs w:val="21"/>
        </w:rPr>
        <w:t>总则</w:t>
      </w:r>
    </w:p>
    <w:p>
      <w:pPr>
        <w:numPr>
          <w:ilvl w:val="0"/>
          <w:numId w:val="2"/>
        </w:numPr>
        <w:adjustRightInd w:val="0"/>
        <w:snapToGrid w:val="0"/>
        <w:spacing w:after="156" w:afterLines="50"/>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附加保险合同(以下简称“本附加合同”)须附加于意外伤害类保险合同（以下简称“主险合同”）。主险合同所附条款、投保单、保险单、保险凭证以及批单等，凡与本附加合同相关者，均为本附加合同的构成部分。凡涉及本附加合同的约定，均应采用书面或电子形式。</w:t>
      </w:r>
    </w:p>
    <w:p>
      <w:pPr>
        <w:adjustRightInd w:val="0"/>
        <w:snapToGrid w:val="0"/>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若主险合同与本附加合同的条款互有冲突，则以本附加合同的条款为准。本附加合同未尽事宜，以主险合同的条款规定为准。</w:t>
      </w:r>
    </w:p>
    <w:p>
      <w:pPr>
        <w:numPr>
          <w:ilvl w:val="0"/>
          <w:numId w:val="2"/>
        </w:numPr>
        <w:adjustRightInd w:val="0"/>
        <w:snapToGrid w:val="0"/>
        <w:spacing w:after="156" w:afterLines="50"/>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本附加合同的投保人、被保险人与主险合同一致。</w:t>
      </w:r>
    </w:p>
    <w:p>
      <w:pPr>
        <w:numPr>
          <w:ilvl w:val="0"/>
          <w:numId w:val="2"/>
        </w:numPr>
        <w:adjustRightInd w:val="0"/>
        <w:snapToGrid w:val="0"/>
        <w:spacing w:after="156" w:afterLines="50"/>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222222"/>
          <w:szCs w:val="21"/>
        </w:rPr>
        <w:t>订立本附加合同时，被保险人或投保人可指定一人或数人为猝死保险金受益人。</w:t>
      </w:r>
    </w:p>
    <w:p>
      <w:pPr>
        <w:numPr>
          <w:ilvl w:val="255"/>
          <w:numId w:val="0"/>
        </w:numPr>
        <w:adjustRightInd w:val="0"/>
        <w:snapToGrid w:val="0"/>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222222"/>
          <w:szCs w:val="21"/>
        </w:rPr>
        <w:t>猝死保险金受益人为数人时，应确定其受益顺序和受益份额；未确定受益份额的，各猝死保险金受益人按照相等份额享有受益权。</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222222"/>
          <w:szCs w:val="21"/>
        </w:rPr>
        <w:t>被保险人死亡后，有下列情形之一的，保险金作为被保险人的遗产，由保险人依照《中华人民共和国民法典》的规定履行给付保险金的义务：</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222222"/>
          <w:szCs w:val="21"/>
        </w:rPr>
        <w:t>（一）没有指定保险金受益人，或者保险金受益人指定不明无法确定的；</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222222"/>
          <w:szCs w:val="21"/>
        </w:rPr>
        <w:t>（二）保险金受益人先于被保险人死亡，没有其他保险金受益人的；</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222222"/>
          <w:szCs w:val="21"/>
        </w:rPr>
        <w:t>（三）保险金受益人依法丧失受益权或者放弃受益权，没有其他保险金受益人的。</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222222"/>
          <w:szCs w:val="21"/>
        </w:rPr>
        <w:t>保险金受益人与被保险人在同一事件中死亡，且不能确定死亡先后顺序的，推定保险金受益人死亡在先。</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222222"/>
          <w:szCs w:val="21"/>
        </w:rPr>
        <w:t>被保险人或投保人可以变更猝死保险金受益人，但须书面通知保险人，由保险人在本附加合同上批注。</w:t>
      </w:r>
      <w:r>
        <w:rPr>
          <w:rFonts w:hint="eastAsia" w:asciiTheme="minorEastAsia" w:hAnsiTheme="minorEastAsia" w:eastAsiaTheme="minorEastAsia" w:cstheme="minorEastAsia"/>
          <w:b/>
          <w:bCs/>
          <w:color w:val="222222"/>
          <w:szCs w:val="21"/>
        </w:rPr>
        <w:t>对因猝死保险金受益人变更发生的法律纠纷，保险人不承担任何责任。</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222222"/>
          <w:szCs w:val="21"/>
        </w:rPr>
        <w:t>投保人指定或变更猝死保险金受益人的，应经被保险人书面同意。</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222222"/>
          <w:szCs w:val="21"/>
        </w:rPr>
        <w:t>除未成年人的父母外，投保人不得为无民事行为能力人投保本保险。</w:t>
      </w:r>
      <w:r>
        <w:rPr>
          <w:rFonts w:hint="eastAsia" w:asciiTheme="minorEastAsia" w:hAnsiTheme="minorEastAsia" w:eastAsiaTheme="minorEastAsia" w:cstheme="minorEastAsia"/>
          <w:b/>
          <w:bCs/>
          <w:color w:val="222222"/>
          <w:szCs w:val="21"/>
        </w:rPr>
        <w:t>父母为其未成年子女投保本保险的，因被保险人死亡给付的保险金总和不得超过国务院保险监督管理机构规定的限额，死亡给付的保险金总和的约定也不得超过前述限额。</w:t>
      </w:r>
    </w:p>
    <w:p>
      <w:pPr>
        <w:adjustRightInd w:val="0"/>
        <w:snapToGrid w:val="0"/>
        <w:spacing w:after="156" w:afterLines="50"/>
        <w:ind w:firstLine="420"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color w:val="222222"/>
          <w:szCs w:val="21"/>
        </w:rPr>
        <w:t>被保险人为无民事行为能力人或限制民事行为能力人的，可以由其监护人指定或者变更猝死保险金受益人。</w:t>
      </w:r>
    </w:p>
    <w:p>
      <w:pPr>
        <w:spacing w:after="156" w:afterLines="50"/>
        <w:jc w:val="center"/>
        <w:rPr>
          <w:rFonts w:ascii="宋体" w:hAnsi="宋体" w:cs="宋体"/>
          <w:b/>
          <w:szCs w:val="21"/>
        </w:rPr>
      </w:pPr>
    </w:p>
    <w:p>
      <w:pPr>
        <w:pStyle w:val="11"/>
        <w:spacing w:before="0" w:after="156" w:afterLines="50"/>
        <w:rPr>
          <w:rFonts w:ascii="宋体" w:hAnsi="宋体" w:cs="宋体"/>
          <w:sz w:val="21"/>
          <w:szCs w:val="21"/>
        </w:rPr>
      </w:pPr>
      <w:r>
        <w:rPr>
          <w:rFonts w:hint="eastAsia" w:ascii="宋体" w:hAnsi="宋体" w:cs="宋体"/>
          <w:sz w:val="21"/>
          <w:szCs w:val="21"/>
        </w:rPr>
        <w:t>保险责任</w:t>
      </w:r>
    </w:p>
    <w:p>
      <w:pPr>
        <w:numPr>
          <w:ilvl w:val="0"/>
          <w:numId w:val="2"/>
        </w:numPr>
        <w:adjustRightInd w:val="0"/>
        <w:snapToGrid w:val="0"/>
        <w:spacing w:after="156" w:afterLines="50"/>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在本附加合同保险期间内,被保险人发生猝死的，保险人按照本附加合同约定的保险金额给付猝死保险金，本附加合同终止。</w:t>
      </w:r>
    </w:p>
    <w:p>
      <w:pPr>
        <w:numPr>
          <w:ilvl w:val="255"/>
          <w:numId w:val="0"/>
        </w:numPr>
        <w:spacing w:after="156" w:afterLines="50"/>
        <w:jc w:val="center"/>
        <w:rPr>
          <w:rFonts w:ascii="宋体" w:hAnsi="宋体" w:cs="宋体"/>
          <w:b/>
          <w:bCs/>
          <w:szCs w:val="21"/>
        </w:rPr>
      </w:pPr>
    </w:p>
    <w:p>
      <w:pPr>
        <w:pStyle w:val="11"/>
        <w:spacing w:before="0" w:after="156" w:afterLines="50"/>
        <w:rPr>
          <w:rFonts w:ascii="宋体" w:hAnsi="宋体" w:cs="宋体"/>
          <w:sz w:val="21"/>
          <w:szCs w:val="21"/>
        </w:rPr>
      </w:pPr>
      <w:r>
        <w:rPr>
          <w:rFonts w:hint="eastAsia" w:ascii="宋体" w:hAnsi="宋体" w:cs="宋体"/>
          <w:sz w:val="21"/>
          <w:szCs w:val="21"/>
        </w:rPr>
        <w:t>责任免除</w:t>
      </w:r>
    </w:p>
    <w:p>
      <w:pPr>
        <w:numPr>
          <w:ilvl w:val="0"/>
          <w:numId w:val="2"/>
        </w:numPr>
        <w:adjustRightInd w:val="0"/>
        <w:snapToGrid w:val="0"/>
        <w:spacing w:after="156" w:afterLines="50"/>
        <w:ind w:left="0"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因下列原因造成被保险人身故的，保险人不承担给付保险金责任：</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（一）投保人的故意行为；</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（二）被保险人自致伤害或自杀，但被保险人自杀时为无民事行为能力人的除外；</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（三）被保险人妊娠、流产、分娩；</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（四）被保险人在保险期间开始前罹患的已知或应该知道的既往疾病及并发症；</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（五）被保险人未遵医嘱，私自服用、涂用、注射药物；</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（六）核爆炸、核辐射或核污染等放射性污染；</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（七）恐怖袭击、意外伤害；</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（八）被保险人犯罪或抗拒依法采取的刑事强制措施；</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（九）被保险人从事跳伞、滑翔、赛马、马术表演、赛车、拳击等高风险运动或活动；</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（十）被保险人参加任何职业或半职业体育运动或设有奖金、报酬的体育活动；</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（十一）被保险人因接受检查、麻醉、整容手术及其它内外科手术、药物治疗等导致的医疗事故。</w:t>
      </w:r>
    </w:p>
    <w:p>
      <w:pPr>
        <w:numPr>
          <w:ilvl w:val="0"/>
          <w:numId w:val="2"/>
        </w:numPr>
        <w:adjustRightInd w:val="0"/>
        <w:spacing w:after="156" w:afterLines="50"/>
        <w:ind w:left="0" w:firstLine="422" w:firstLineChars="200"/>
        <w:rPr>
          <w:rFonts w:asciiTheme="minorEastAsia" w:hAnsiTheme="minorEastAsia" w:eastAsiaTheme="minorEastAsia" w:cstheme="minorEastAsia"/>
          <w:b/>
          <w:bCs/>
          <w:color w:val="222222"/>
          <w:szCs w:val="21"/>
        </w:rPr>
      </w:pPr>
      <w:r>
        <w:rPr>
          <w:rFonts w:hint="eastAsia" w:asciiTheme="minorEastAsia" w:hAnsiTheme="minorEastAsia" w:eastAsiaTheme="minorEastAsia" w:cstheme="minorEastAsia"/>
          <w:b/>
          <w:bCs/>
          <w:color w:val="222222"/>
          <w:szCs w:val="21"/>
        </w:rPr>
        <w:t>被保险人在下列期间身故的，保险人不承担给付保险金责任：</w:t>
      </w:r>
    </w:p>
    <w:p>
      <w:pPr>
        <w:pStyle w:val="21"/>
        <w:numPr>
          <w:ilvl w:val="255"/>
          <w:numId w:val="0"/>
        </w:numPr>
        <w:snapToGrid w:val="0"/>
        <w:spacing w:after="156" w:afterLines="50"/>
        <w:ind w:firstLine="422" w:firstLineChars="200"/>
        <w:rPr>
          <w:rFonts w:asciiTheme="minorEastAsia" w:hAnsiTheme="minorEastAsia" w:eastAsiaTheme="minorEastAsia" w:cstheme="minorEastAsia"/>
          <w:b/>
          <w:bCs/>
          <w:color w:val="222222"/>
        </w:rPr>
      </w:pPr>
      <w:r>
        <w:rPr>
          <w:rFonts w:hint="eastAsia" w:asciiTheme="minorEastAsia" w:hAnsiTheme="minorEastAsia" w:eastAsiaTheme="minorEastAsia" w:cstheme="minorEastAsia"/>
          <w:b/>
          <w:bCs/>
        </w:rPr>
        <w:t>（一）战争（无论宣战与否）、军事行动、暴动或武装叛乱期间；</w:t>
      </w:r>
    </w:p>
    <w:p>
      <w:pPr>
        <w:pStyle w:val="21"/>
        <w:numPr>
          <w:ilvl w:val="255"/>
          <w:numId w:val="0"/>
        </w:numPr>
        <w:snapToGrid w:val="0"/>
        <w:spacing w:after="156" w:afterLines="50"/>
        <w:ind w:firstLine="422" w:firstLineChars="200"/>
        <w:rPr>
          <w:rFonts w:asciiTheme="minorEastAsia" w:hAnsiTheme="minorEastAsia" w:eastAsiaTheme="minorEastAsia" w:cstheme="minorEastAsia"/>
          <w:b/>
          <w:bCs/>
          <w:color w:val="222222"/>
        </w:rPr>
      </w:pPr>
      <w:r>
        <w:rPr>
          <w:rFonts w:hint="eastAsia" w:asciiTheme="minorEastAsia" w:hAnsiTheme="minorEastAsia" w:eastAsiaTheme="minorEastAsia" w:cstheme="minorEastAsia"/>
          <w:b/>
          <w:bCs/>
          <w:color w:val="222222"/>
        </w:rPr>
        <w:t>（二）被保险人酒后驾驶、无合法有效驾驶证驾驶、或驾驶无合法有效行驶证的机动车期间；</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（三）被保险人醉酒或服用、吸食、注射毒品、管制药品的影响期间；</w:t>
      </w:r>
    </w:p>
    <w:p>
      <w:pPr>
        <w:pStyle w:val="10"/>
        <w:numPr>
          <w:ilvl w:val="255"/>
          <w:numId w:val="0"/>
        </w:numPr>
        <w:shd w:val="clear" w:color="auto" w:fill="FFFFFF"/>
        <w:adjustRightInd w:val="0"/>
        <w:snapToGrid w:val="0"/>
        <w:spacing w:before="0" w:beforeAutospacing="0" w:after="156" w:afterLines="50" w:afterAutospacing="0"/>
        <w:ind w:firstLine="422" w:firstLineChars="200"/>
        <w:jc w:val="both"/>
        <w:rPr>
          <w:rFonts w:asciiTheme="minorEastAsia" w:hAnsiTheme="minorEastAsia" w:eastAsiaTheme="minorEastAsia" w:cstheme="minorEastAsia"/>
          <w:b/>
          <w:bCs/>
          <w:color w:val="222222"/>
          <w:sz w:val="21"/>
          <w:szCs w:val="21"/>
        </w:rPr>
      </w:pPr>
      <w:r>
        <w:rPr>
          <w:rFonts w:hint="eastAsia" w:asciiTheme="minorEastAsia" w:hAnsiTheme="minorEastAsia" w:eastAsiaTheme="minorEastAsia" w:cstheme="minorEastAsia"/>
          <w:b/>
          <w:bCs/>
          <w:color w:val="222222"/>
          <w:sz w:val="21"/>
          <w:szCs w:val="21"/>
        </w:rPr>
        <w:t>（四）被保险人因受当地司法当局拘留或服刑期间；</w:t>
      </w:r>
    </w:p>
    <w:p>
      <w:pPr>
        <w:pStyle w:val="21"/>
        <w:numPr>
          <w:ilvl w:val="255"/>
          <w:numId w:val="0"/>
        </w:numPr>
        <w:snapToGrid w:val="0"/>
        <w:spacing w:after="156" w:afterLines="50"/>
        <w:ind w:firstLine="422" w:firstLineChars="200"/>
        <w:rPr>
          <w:rFonts w:asciiTheme="minorEastAsia" w:hAnsiTheme="minorEastAsia" w:eastAsiaTheme="minorEastAsia" w:cstheme="minorEastAsia"/>
          <w:b/>
          <w:bCs/>
          <w:color w:val="222222"/>
        </w:rPr>
      </w:pPr>
      <w:r>
        <w:rPr>
          <w:rFonts w:hint="eastAsia" w:asciiTheme="minorEastAsia" w:hAnsiTheme="minorEastAsia" w:eastAsiaTheme="minorEastAsia" w:cstheme="minorEastAsia"/>
          <w:b/>
          <w:bCs/>
          <w:color w:val="222222"/>
        </w:rPr>
        <w:t>（五）被保险人无有效操作证操作施工设备期间；</w:t>
      </w:r>
    </w:p>
    <w:p>
      <w:pPr>
        <w:pStyle w:val="21"/>
        <w:numPr>
          <w:ilvl w:val="255"/>
          <w:numId w:val="0"/>
        </w:numPr>
        <w:snapToGrid w:val="0"/>
        <w:spacing w:after="156" w:afterLines="50"/>
        <w:ind w:firstLine="422" w:firstLineChars="200"/>
        <w:rPr>
          <w:rFonts w:asciiTheme="minorEastAsia" w:hAnsiTheme="minorEastAsia" w:eastAsiaTheme="minorEastAsia" w:cstheme="minorEastAsia"/>
          <w:b/>
          <w:bCs/>
          <w:color w:val="222222"/>
        </w:rPr>
      </w:pPr>
      <w:r>
        <w:rPr>
          <w:rFonts w:hint="eastAsia" w:asciiTheme="minorEastAsia" w:hAnsiTheme="minorEastAsia" w:eastAsiaTheme="minorEastAsia" w:cstheme="minorEastAsia"/>
          <w:b/>
          <w:bCs/>
          <w:color w:val="222222"/>
        </w:rPr>
        <w:t>（六）被保险人作为职业运动员在参加训练或比赛期间；</w:t>
      </w:r>
    </w:p>
    <w:p>
      <w:pPr>
        <w:pStyle w:val="21"/>
        <w:numPr>
          <w:ilvl w:val="255"/>
          <w:numId w:val="0"/>
        </w:numPr>
        <w:snapToGrid w:val="0"/>
        <w:spacing w:after="156" w:afterLines="50"/>
        <w:ind w:firstLine="422" w:firstLineChars="200"/>
        <w:rPr>
          <w:rFonts w:asciiTheme="minorEastAsia" w:hAnsiTheme="minorEastAsia" w:eastAsiaTheme="minorEastAsia" w:cstheme="minorEastAsia"/>
          <w:b/>
          <w:bCs/>
          <w:color w:val="222222"/>
        </w:rPr>
      </w:pPr>
      <w:r>
        <w:rPr>
          <w:rFonts w:hint="eastAsia" w:asciiTheme="minorEastAsia" w:hAnsiTheme="minorEastAsia" w:eastAsiaTheme="minorEastAsia" w:cstheme="minorEastAsia"/>
          <w:b/>
          <w:bCs/>
          <w:color w:val="222222"/>
        </w:rPr>
        <w:t>（七）被保险人作为军人(含特种兵)、警务人员(含防暴警察)在训练或执行公务期间。</w:t>
      </w:r>
    </w:p>
    <w:p>
      <w:pPr>
        <w:spacing w:after="156" w:afterLines="50"/>
        <w:jc w:val="center"/>
        <w:rPr>
          <w:rFonts w:ascii="宋体" w:hAnsi="宋体" w:cs="宋体"/>
          <w:b/>
          <w:szCs w:val="21"/>
        </w:rPr>
      </w:pPr>
    </w:p>
    <w:p>
      <w:pPr>
        <w:pStyle w:val="11"/>
        <w:spacing w:before="0" w:after="156" w:afterLines="50"/>
        <w:rPr>
          <w:rFonts w:ascii="宋体" w:hAnsi="宋体" w:cs="宋体"/>
          <w:sz w:val="21"/>
          <w:szCs w:val="21"/>
        </w:rPr>
      </w:pPr>
      <w:r>
        <w:rPr>
          <w:rFonts w:hint="eastAsia" w:ascii="宋体" w:hAnsi="宋体" w:cs="宋体"/>
          <w:sz w:val="21"/>
          <w:szCs w:val="21"/>
        </w:rPr>
        <w:t>保险金额</w:t>
      </w:r>
    </w:p>
    <w:p>
      <w:pPr>
        <w:numPr>
          <w:ilvl w:val="0"/>
          <w:numId w:val="2"/>
        </w:numPr>
        <w:adjustRightInd w:val="0"/>
        <w:snapToGrid w:val="0"/>
        <w:spacing w:after="156" w:afterLines="50"/>
        <w:ind w:left="0"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rPr>
        <w:t>保险金额是保险人承担给付保险金责任的最高限额。</w:t>
      </w:r>
      <w:r>
        <w:rPr>
          <w:rFonts w:hint="eastAsia" w:asciiTheme="minorEastAsia" w:hAnsiTheme="minorEastAsia" w:eastAsiaTheme="minorEastAsia" w:cstheme="minorEastAsia"/>
          <w:b/>
          <w:bCs/>
          <w:szCs w:val="21"/>
        </w:rPr>
        <w:t>本附加合同的保险金额由投保人、保险人双方约定，并于保险单中载明。</w:t>
      </w:r>
    </w:p>
    <w:p>
      <w:pPr>
        <w:numPr>
          <w:ilvl w:val="255"/>
          <w:numId w:val="0"/>
        </w:numPr>
        <w:spacing w:after="156" w:afterLines="50"/>
        <w:jc w:val="center"/>
        <w:rPr>
          <w:rFonts w:ascii="宋体" w:hAnsi="宋体" w:cs="宋体"/>
          <w:b/>
          <w:bCs/>
          <w:szCs w:val="21"/>
        </w:rPr>
      </w:pPr>
    </w:p>
    <w:p>
      <w:pPr>
        <w:pStyle w:val="11"/>
        <w:spacing w:before="0" w:after="156" w:afterLines="50"/>
        <w:rPr>
          <w:rFonts w:ascii="宋体" w:hAnsi="宋体" w:cs="宋体"/>
          <w:sz w:val="21"/>
          <w:szCs w:val="21"/>
        </w:rPr>
      </w:pPr>
      <w:r>
        <w:rPr>
          <w:rFonts w:hint="eastAsia" w:ascii="宋体" w:hAnsi="宋体" w:cs="宋体"/>
          <w:sz w:val="21"/>
          <w:szCs w:val="21"/>
        </w:rPr>
        <w:t>保险费</w:t>
      </w:r>
    </w:p>
    <w:p>
      <w:pPr>
        <w:numPr>
          <w:ilvl w:val="0"/>
          <w:numId w:val="2"/>
        </w:numPr>
        <w:adjustRightInd w:val="0"/>
        <w:snapToGrid w:val="0"/>
        <w:spacing w:after="156" w:afterLines="50"/>
        <w:ind w:left="0"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保险费依据保险金额与保险费率计收，在保险单中载明。保险费支付方式由投保人在投保时与保险人约定，并在保险单上载明。除另有约定外，本附加合同的保险费支付方式与主险合同一致。</w:t>
      </w:r>
    </w:p>
    <w:p>
      <w:pPr>
        <w:pStyle w:val="11"/>
        <w:spacing w:before="0" w:after="156" w:afterLines="50"/>
        <w:rPr>
          <w:rFonts w:ascii="宋体" w:hAnsi="宋体" w:cs="宋体"/>
          <w:sz w:val="21"/>
          <w:szCs w:val="21"/>
        </w:rPr>
      </w:pPr>
    </w:p>
    <w:p>
      <w:pPr>
        <w:pStyle w:val="11"/>
        <w:spacing w:before="0" w:after="156" w:afterLines="50"/>
        <w:rPr>
          <w:rFonts w:ascii="宋体" w:hAnsi="宋体" w:cs="宋体"/>
          <w:sz w:val="21"/>
          <w:szCs w:val="21"/>
        </w:rPr>
      </w:pPr>
      <w:r>
        <w:rPr>
          <w:rFonts w:hint="eastAsia" w:ascii="宋体" w:hAnsi="宋体" w:cs="宋体"/>
          <w:sz w:val="21"/>
          <w:szCs w:val="21"/>
        </w:rPr>
        <w:t>保险期间</w:t>
      </w:r>
    </w:p>
    <w:p>
      <w:pPr>
        <w:numPr>
          <w:ilvl w:val="0"/>
          <w:numId w:val="2"/>
        </w:numPr>
        <w:spacing w:after="156" w:afterLines="50"/>
        <w:ind w:left="0"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除另有约定外，本附加合同的保险期间同主险合同一致。</w:t>
      </w:r>
    </w:p>
    <w:p>
      <w:pPr>
        <w:pStyle w:val="11"/>
        <w:spacing w:before="0" w:after="156" w:afterLines="50"/>
        <w:rPr>
          <w:rFonts w:ascii="宋体" w:hAnsi="宋体" w:cs="宋体"/>
          <w:sz w:val="21"/>
          <w:szCs w:val="21"/>
        </w:rPr>
      </w:pPr>
    </w:p>
    <w:p>
      <w:pPr>
        <w:pStyle w:val="11"/>
        <w:spacing w:before="0" w:after="156" w:afterLines="50"/>
        <w:rPr>
          <w:rFonts w:ascii="宋体" w:hAnsi="宋体" w:cs="宋体"/>
          <w:sz w:val="21"/>
          <w:szCs w:val="21"/>
        </w:rPr>
      </w:pPr>
      <w:r>
        <w:rPr>
          <w:rFonts w:hint="eastAsia" w:ascii="宋体" w:hAnsi="宋体" w:cs="宋体"/>
          <w:sz w:val="21"/>
          <w:szCs w:val="21"/>
        </w:rPr>
        <w:t>保险金申请与给付</w:t>
      </w:r>
    </w:p>
    <w:p>
      <w:pPr>
        <w:numPr>
          <w:ilvl w:val="0"/>
          <w:numId w:val="2"/>
        </w:numPr>
        <w:spacing w:after="156" w:afterLines="50"/>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保险金申请人向保险人申请给付保险金时应提交以下材料。保险金申请人因特殊原因不能提供以下材料的，应提供其他合法有效的材料。</w:t>
      </w:r>
      <w:r>
        <w:rPr>
          <w:rFonts w:hint="eastAsia" w:asciiTheme="minorEastAsia" w:hAnsiTheme="minorEastAsia" w:eastAsiaTheme="minorEastAsia" w:cstheme="minorEastAsia"/>
          <w:b/>
          <w:bCs/>
          <w:szCs w:val="21"/>
        </w:rPr>
        <w:t>保险金申请人未能提供有关材料，导致保险人无法核实保险事故的性质、原因的，保险人对无法核实部分不承担给付保险金的责任</w:t>
      </w:r>
      <w:r>
        <w:rPr>
          <w:rFonts w:hint="eastAsia" w:asciiTheme="minorEastAsia" w:hAnsiTheme="minorEastAsia" w:eastAsiaTheme="minorEastAsia" w:cstheme="minorEastAsia"/>
          <w:szCs w:val="21"/>
        </w:rPr>
        <w:t>：</w:t>
      </w:r>
    </w:p>
    <w:p>
      <w:pPr>
        <w:numPr>
          <w:ilvl w:val="0"/>
          <w:numId w:val="3"/>
        </w:numPr>
        <w:spacing w:after="156" w:afterLines="50"/>
        <w:ind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理赔申请书；</w:t>
      </w:r>
    </w:p>
    <w:p>
      <w:pPr>
        <w:numPr>
          <w:ilvl w:val="0"/>
          <w:numId w:val="3"/>
        </w:numPr>
        <w:spacing w:after="156" w:afterLines="50"/>
        <w:ind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保险合同或其他保险凭证；</w:t>
      </w:r>
    </w:p>
    <w:p>
      <w:pPr>
        <w:numPr>
          <w:ilvl w:val="0"/>
          <w:numId w:val="3"/>
        </w:numPr>
        <w:spacing w:after="156" w:afterLines="50"/>
        <w:ind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保险金申请人的</w:t>
      </w:r>
      <w:r>
        <w:rPr>
          <w:rFonts w:hint="eastAsia" w:asciiTheme="minorEastAsia" w:hAnsiTheme="minorEastAsia" w:eastAsiaTheme="minorEastAsia" w:cstheme="minorEastAsia"/>
          <w:bCs/>
          <w:color w:val="000000" w:themeColor="text1"/>
          <w:szCs w:val="21"/>
          <w14:textFill>
            <w14:solidFill>
              <w14:schemeClr w14:val="tx1"/>
            </w14:solidFill>
          </w14:textFill>
        </w:rPr>
        <w:t>有效身份证件；</w:t>
      </w:r>
    </w:p>
    <w:p>
      <w:pPr>
        <w:numPr>
          <w:ilvl w:val="0"/>
          <w:numId w:val="3"/>
        </w:numPr>
        <w:spacing w:after="156" w:afterLines="50"/>
        <w:ind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被保险人死亡证明材料：</w:t>
      </w:r>
    </w:p>
    <w:p>
      <w:pPr>
        <w:numPr>
          <w:ilvl w:val="255"/>
          <w:numId w:val="0"/>
        </w:num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（1）国务院卫生行政部门规定的医疗机构、公安部门、司法部门等有权机构出具的被保险人的死亡证明；</w:t>
      </w:r>
    </w:p>
    <w:p>
      <w:pPr>
        <w:widowControl/>
        <w:numPr>
          <w:ilvl w:val="255"/>
          <w:numId w:val="0"/>
        </w:numPr>
        <w:spacing w:after="156" w:afterLines="50"/>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（2）若非上述机构出具的死亡证明（如村委会/居委会出具的死亡证明），则须同时提供合法有效的户籍注销证明；</w:t>
      </w:r>
    </w:p>
    <w:p>
      <w:pPr>
        <w:numPr>
          <w:ilvl w:val="0"/>
          <w:numId w:val="3"/>
        </w:numPr>
        <w:spacing w:after="156" w:afterLines="50"/>
        <w:ind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保险金申请人所能提供的与确认保险事故的性质、原因、损失程度等有关的其他证明和资料；</w:t>
      </w:r>
    </w:p>
    <w:p>
      <w:pPr>
        <w:numPr>
          <w:ilvl w:val="0"/>
          <w:numId w:val="3"/>
        </w:numPr>
        <w:spacing w:after="156" w:afterLines="50"/>
        <w:ind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pStyle w:val="5"/>
        <w:adjustRightInd w:val="0"/>
        <w:snapToGrid w:val="0"/>
        <w:spacing w:after="156" w:afterLines="50"/>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14:textFill>
            <w14:solidFill>
              <w14:schemeClr w14:val="tx1"/>
            </w14:solidFill>
          </w14:textFill>
        </w:rPr>
        <w:t>保险金作为被保险人遗产时，继承人还必须提供可证明其合法继承权的相关权利文件（如加盖当地公安局或派出所公章的亲属关系证明、遗嘱、继承公证书或法院判决、调解生效的法律文书等）</w:t>
      </w:r>
      <w:r>
        <w:rPr>
          <w:rFonts w:hint="eastAsia" w:asciiTheme="minorEastAsia" w:hAnsiTheme="minorEastAsia" w:eastAsiaTheme="minorEastAsia" w:cstheme="minorEastAsia"/>
          <w:szCs w:val="21"/>
        </w:rPr>
        <w:t>。</w:t>
      </w:r>
    </w:p>
    <w:p>
      <w:pPr>
        <w:pStyle w:val="5"/>
        <w:adjustRightInd w:val="0"/>
        <w:snapToGrid w:val="0"/>
        <w:spacing w:after="156" w:afterLines="50"/>
        <w:ind w:left="0" w:leftChars="0"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保险金申请人未能提供有关材料，导致保险人无法核实该申请的真实性的，保险人对无法核实的部分不承担保险责任。</w:t>
      </w:r>
    </w:p>
    <w:p>
      <w:pPr>
        <w:pStyle w:val="20"/>
        <w:spacing w:after="156" w:afterLines="50"/>
        <w:ind w:left="0" w:leftChars="0" w:firstLine="42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保险金申请人申请给付保险金时，为确定事故原因，保险人有权要求由司法鉴定机构对事故原因进行鉴定，如进行尸体检验等。</w:t>
      </w:r>
    </w:p>
    <w:p>
      <w:pPr>
        <w:pStyle w:val="20"/>
        <w:adjustRightInd/>
        <w:snapToGrid/>
        <w:spacing w:after="156" w:afterLines="50"/>
        <w:ind w:left="0" w:leftChars="0" w:firstLine="0" w:firstLineChars="0"/>
        <w:jc w:val="center"/>
        <w:rPr>
          <w:rFonts w:ascii="宋体" w:hAnsi="宋体" w:cs="宋体"/>
          <w:b/>
          <w:szCs w:val="21"/>
        </w:rPr>
      </w:pPr>
    </w:p>
    <w:p>
      <w:pPr>
        <w:pStyle w:val="11"/>
        <w:spacing w:before="0" w:after="156" w:afterLines="50"/>
        <w:rPr>
          <w:rFonts w:ascii="宋体" w:hAnsi="宋体" w:cs="宋体"/>
          <w:sz w:val="21"/>
          <w:szCs w:val="21"/>
        </w:rPr>
      </w:pPr>
      <w:r>
        <w:rPr>
          <w:rFonts w:hint="eastAsia" w:ascii="宋体" w:hAnsi="宋体" w:cs="宋体"/>
          <w:sz w:val="21"/>
          <w:szCs w:val="21"/>
        </w:rPr>
        <w:t>其它事项</w:t>
      </w:r>
    </w:p>
    <w:p>
      <w:pPr>
        <w:numPr>
          <w:ilvl w:val="0"/>
          <w:numId w:val="2"/>
        </w:numPr>
        <w:adjustRightInd w:val="0"/>
        <w:snapToGrid w:val="0"/>
        <w:spacing w:after="156" w:afterLines="50"/>
        <w:ind w:left="0" w:firstLine="420"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color w:val="000000"/>
          <w:kern w:val="0"/>
          <w:szCs w:val="21"/>
        </w:rPr>
        <w:t>除另有约定外，本附加合同成立后将持续有效，直至保单约定的保险期间届满或达到本附加合同约定的终止条件</w:t>
      </w:r>
      <w:r>
        <w:rPr>
          <w:rFonts w:hint="eastAsia" w:asciiTheme="minorEastAsia" w:hAnsiTheme="minorEastAsia" w:eastAsiaTheme="minorEastAsia" w:cstheme="minorEastAsia"/>
          <w:b/>
          <w:bCs/>
          <w:kern w:val="0"/>
          <w:szCs w:val="21"/>
        </w:rPr>
        <w:t>。</w:t>
      </w:r>
    </w:p>
    <w:p>
      <w:pPr>
        <w:widowControl/>
        <w:shd w:val="clear" w:color="auto" w:fill="FFFFFF"/>
        <w:spacing w:after="156" w:afterLines="50"/>
        <w:ind w:firstLine="420" w:firstLineChars="200"/>
        <w:jc w:val="left"/>
        <w:rPr>
          <w:rFonts w:asciiTheme="minorEastAsia" w:hAnsiTheme="minorEastAsia" w:eastAsiaTheme="minorEastAsia" w:cstheme="minorEastAsia"/>
          <w:bCs/>
          <w:color w:val="222222"/>
          <w:szCs w:val="21"/>
        </w:rPr>
      </w:pPr>
      <w:r>
        <w:rPr>
          <w:rFonts w:hint="eastAsia" w:asciiTheme="minorEastAsia" w:hAnsiTheme="minorEastAsia" w:eastAsiaTheme="minorEastAsia" w:cstheme="minorEastAsia"/>
          <w:bCs/>
          <w:color w:val="222222"/>
          <w:szCs w:val="21"/>
        </w:rPr>
        <w:t>保险责任开始前，投保人要求解除本附加合同的，保险人应当无息全额退还</w:t>
      </w:r>
      <w:r>
        <w:rPr>
          <w:rFonts w:hint="eastAsia" w:asciiTheme="minorEastAsia" w:hAnsiTheme="minorEastAsia" w:eastAsiaTheme="minorEastAsia" w:cstheme="minorEastAsia"/>
          <w:bCs/>
          <w:color w:val="222222"/>
          <w:szCs w:val="21"/>
          <w:lang w:val="zh-CN"/>
        </w:rPr>
        <w:t>投保人已交纳的</w:t>
      </w:r>
      <w:r>
        <w:rPr>
          <w:rFonts w:hint="eastAsia" w:asciiTheme="minorEastAsia" w:hAnsiTheme="minorEastAsia" w:eastAsiaTheme="minorEastAsia" w:cstheme="minorEastAsia"/>
          <w:bCs/>
          <w:color w:val="222222"/>
          <w:szCs w:val="21"/>
        </w:rPr>
        <w:t>保险费。</w:t>
      </w:r>
    </w:p>
    <w:p>
      <w:pPr>
        <w:pStyle w:val="21"/>
        <w:numPr>
          <w:ilvl w:val="0"/>
          <w:numId w:val="0"/>
        </w:numPr>
        <w:snapToGrid w:val="0"/>
        <w:spacing w:after="156" w:afterLines="50"/>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rPr>
        <w:t>保险责任开始后，投保人要求解除本附加合同的，自通知保险人之日起，本附加合同解除，</w:t>
      </w:r>
      <w:r>
        <w:rPr>
          <w:rFonts w:hint="eastAsia" w:asciiTheme="minorEastAsia" w:hAnsiTheme="minorEastAsia" w:eastAsiaTheme="minorEastAsia" w:cstheme="minorEastAsia"/>
          <w:b/>
          <w:bCs/>
          <w:color w:val="222222"/>
        </w:rPr>
        <w:t>保险人自收到解除合同申请之日起30日内向投保人退还本</w:t>
      </w:r>
      <w:r>
        <w:rPr>
          <w:rFonts w:hint="eastAsia" w:asciiTheme="minorEastAsia" w:hAnsiTheme="minorEastAsia" w:eastAsiaTheme="minorEastAsia" w:cstheme="minorEastAsia"/>
          <w:b/>
          <w:color w:val="000000" w:themeColor="text1"/>
          <w14:textFill>
            <w14:solidFill>
              <w14:schemeClr w14:val="tx1"/>
            </w14:solidFill>
          </w14:textFill>
        </w:rPr>
        <w:t>附加</w:t>
      </w:r>
      <w:r>
        <w:rPr>
          <w:rFonts w:hint="eastAsia" w:asciiTheme="minorEastAsia" w:hAnsiTheme="minorEastAsia" w:eastAsiaTheme="minorEastAsia" w:cstheme="minorEastAsia"/>
          <w:b/>
          <w:bCs/>
          <w:color w:val="222222"/>
        </w:rPr>
        <w:t>合同的</w:t>
      </w:r>
      <w:r>
        <w:rPr>
          <w:rFonts w:hint="eastAsia" w:asciiTheme="minorEastAsia" w:hAnsiTheme="minorEastAsia" w:eastAsiaTheme="minorEastAsia" w:cstheme="minorEastAsia"/>
          <w:b/>
        </w:rPr>
        <w:t>未满期保险费</w:t>
      </w:r>
      <w:r>
        <w:rPr>
          <w:rFonts w:hint="eastAsia" w:asciiTheme="minorEastAsia" w:hAnsiTheme="minorEastAsia" w:eastAsiaTheme="minorEastAsia" w:cstheme="minorEastAsia"/>
          <w:color w:val="000000" w:themeColor="text1"/>
          <w14:textFill>
            <w14:solidFill>
              <w14:schemeClr w14:val="tx1"/>
            </w14:solidFill>
          </w14:textFill>
        </w:rPr>
        <w:t>。</w:t>
      </w:r>
    </w:p>
    <w:p>
      <w:pPr>
        <w:widowControl/>
        <w:shd w:val="clear" w:color="auto" w:fill="FFFFFF"/>
        <w:spacing w:after="156" w:afterLines="50"/>
        <w:ind w:firstLine="422"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themeColor="text1"/>
          <w:szCs w:val="21"/>
          <w14:textFill>
            <w14:solidFill>
              <w14:schemeClr w14:val="tx1"/>
            </w14:solidFill>
          </w14:textFill>
        </w:rPr>
        <w:t>若本附加合同已发生保险金赔偿，</w:t>
      </w:r>
      <w:r>
        <w:rPr>
          <w:rFonts w:hint="eastAsia" w:asciiTheme="minorEastAsia" w:hAnsiTheme="minorEastAsia" w:eastAsiaTheme="minorEastAsia" w:cstheme="minorEastAsia"/>
          <w:b/>
          <w:szCs w:val="21"/>
        </w:rPr>
        <w:t>未满期保险费</w:t>
      </w:r>
      <w:r>
        <w:rPr>
          <w:rFonts w:hint="eastAsia" w:asciiTheme="minorEastAsia" w:hAnsiTheme="minorEastAsia" w:eastAsiaTheme="minorEastAsia" w:cstheme="minorEastAsia"/>
          <w:b/>
          <w:color w:val="000000" w:themeColor="text1"/>
          <w:szCs w:val="21"/>
          <w14:textFill>
            <w14:solidFill>
              <w14:schemeClr w14:val="tx1"/>
            </w14:solidFill>
          </w14:textFill>
        </w:rPr>
        <w:t>为零</w:t>
      </w:r>
      <w:r>
        <w:rPr>
          <w:rFonts w:hint="eastAsia" w:asciiTheme="minorEastAsia" w:hAnsiTheme="minorEastAsia" w:eastAsiaTheme="minorEastAsia" w:cstheme="minorEastAsia"/>
          <w:b/>
          <w:color w:val="000000"/>
          <w:kern w:val="0"/>
          <w:szCs w:val="21"/>
          <w:shd w:val="clear" w:color="auto" w:fill="FFFFFF"/>
          <w:lang w:bidi="ar"/>
        </w:rPr>
        <w:t>。</w:t>
      </w:r>
    </w:p>
    <w:p>
      <w:pPr>
        <w:numPr>
          <w:ilvl w:val="255"/>
          <w:numId w:val="0"/>
        </w:numPr>
        <w:adjustRightInd w:val="0"/>
        <w:snapToGrid w:val="0"/>
        <w:spacing w:after="156" w:afterLines="50"/>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如主险合同解除，本附加合同须同时解除。</w:t>
      </w:r>
    </w:p>
    <w:p>
      <w:pPr>
        <w:spacing w:after="156" w:afterLines="50"/>
        <w:jc w:val="center"/>
        <w:rPr>
          <w:rFonts w:ascii="宋体" w:hAnsi="宋体" w:cs="宋体"/>
          <w:b/>
          <w:bCs/>
          <w:kern w:val="0"/>
          <w:szCs w:val="21"/>
        </w:rPr>
      </w:pPr>
    </w:p>
    <w:p>
      <w:pPr>
        <w:pStyle w:val="11"/>
        <w:spacing w:before="0" w:after="156" w:afterLines="50"/>
        <w:rPr>
          <w:rFonts w:ascii="宋体" w:hAnsi="宋体" w:cs="宋体"/>
          <w:sz w:val="21"/>
          <w:szCs w:val="21"/>
        </w:rPr>
      </w:pPr>
      <w:r>
        <w:rPr>
          <w:rFonts w:hint="eastAsia" w:ascii="宋体" w:hAnsi="宋体" w:cs="宋体"/>
          <w:sz w:val="21"/>
          <w:szCs w:val="21"/>
        </w:rPr>
        <w:t>释义</w:t>
      </w:r>
    </w:p>
    <w:p>
      <w:pPr>
        <w:numPr>
          <w:ilvl w:val="0"/>
          <w:numId w:val="2"/>
        </w:numPr>
        <w:adjustRightInd w:val="0"/>
        <w:snapToGrid w:val="0"/>
        <w:spacing w:after="156" w:afterLines="50"/>
        <w:ind w:left="0"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本附加合同涉及下列术语时，适用以下释义：</w:t>
      </w:r>
    </w:p>
    <w:p>
      <w:pPr>
        <w:pStyle w:val="10"/>
        <w:shd w:val="clear" w:color="auto" w:fill="FFFFFF"/>
        <w:adjustRightInd w:val="0"/>
        <w:snapToGrid w:val="0"/>
        <w:spacing w:before="0" w:beforeAutospacing="0" w:after="156" w:afterLines="50" w:afterAutospacing="0"/>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猝死</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猝死指表面健康的人因潜在疾病、机能障碍或者其他原因在出现症状后48小时内发生的非暴力性突然死亡。猝死的认定以</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医院</w:t>
      </w:r>
      <w:r>
        <w:rPr>
          <w:rFonts w:hint="eastAsia" w:asciiTheme="minorEastAsia" w:hAnsiTheme="minorEastAsia" w:eastAsiaTheme="minorEastAsia" w:cstheme="minorEastAsia"/>
          <w:color w:val="000000" w:themeColor="text1"/>
          <w:sz w:val="21"/>
          <w:szCs w:val="21"/>
          <w14:textFill>
            <w14:solidFill>
              <w14:schemeClr w14:val="tx1"/>
            </w14:solidFill>
          </w14:textFill>
        </w:rPr>
        <w:t>的诊断和公安部门的鉴定为准</w:t>
      </w:r>
      <w:r>
        <w:rPr>
          <w:rFonts w:hint="eastAsia" w:asciiTheme="minorEastAsia" w:hAnsiTheme="minorEastAsia" w:eastAsiaTheme="minorEastAsia" w:cstheme="minorEastAsia"/>
          <w:sz w:val="21"/>
          <w:szCs w:val="21"/>
        </w:rPr>
        <w:t>。</w:t>
      </w:r>
    </w:p>
    <w:p>
      <w:pPr>
        <w:pStyle w:val="20"/>
        <w:spacing w:after="156" w:afterLines="50"/>
        <w:ind w:left="0" w:left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pPr>
        <w:pStyle w:val="20"/>
        <w:spacing w:after="156" w:afterLines="50"/>
        <w:ind w:left="0" w:left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酒后驾驶】指经检测或者鉴定，发生保险事故时被保险人每百毫升血液中的酒精含量达到或者超过一定的标准，是否达到前述标准由公安机关交通管理部门依据《道路交通安全法》的规定认定，保险人根据公安机关交通管理部门的认定确认被保险人是否属于酒后驾驶。</w:t>
      </w:r>
    </w:p>
    <w:p>
      <w:pPr>
        <w:pStyle w:val="10"/>
        <w:shd w:val="clear" w:color="auto" w:fill="FFFFFF"/>
        <w:adjustRightInd w:val="0"/>
        <w:snapToGrid w:val="0"/>
        <w:spacing w:before="0" w:beforeAutospacing="0" w:after="156" w:afterLines="50" w:afterAutospacing="0"/>
        <w:ind w:firstLine="420" w:firstLineChars="200"/>
        <w:jc w:val="both"/>
        <w:rPr>
          <w:rFonts w:asciiTheme="minorEastAsia" w:hAnsiTheme="minorEastAsia" w:eastAsiaTheme="minorEastAsia" w:cstheme="minorEastAsia"/>
          <w:color w:val="222222"/>
          <w:kern w:val="2"/>
          <w:sz w:val="21"/>
          <w:szCs w:val="21"/>
        </w:rPr>
      </w:pPr>
      <w:r>
        <w:rPr>
          <w:rFonts w:hint="eastAsia" w:asciiTheme="minorEastAsia" w:hAnsiTheme="minorEastAsia" w:eastAsiaTheme="minorEastAsia" w:cstheme="minorEastAsia"/>
          <w:color w:val="222222"/>
          <w:kern w:val="2"/>
          <w:sz w:val="21"/>
          <w:szCs w:val="21"/>
        </w:rPr>
        <w:t>【无合法有效驾驶证驾驶】指下列情形之一：</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222222"/>
          <w:szCs w:val="21"/>
        </w:rPr>
        <w:t>（1）没有取得中华人民共和国有关主管部门颁发或者认可的驾驶资格证书或驾驶证已过有效期的；</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222222"/>
          <w:szCs w:val="21"/>
        </w:rPr>
        <w:t>（2）驾驶与合法有效驾驶证准驾车型不相符合的车辆；</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222222"/>
          <w:szCs w:val="21"/>
        </w:rPr>
        <w:t>（3）实习期内驾驶公共汽车、营运客车或者载有爆炸物品、易燃易爆化学物品、剧毒或者放射性等危险物品的机动车，实习期内驾驶的机动车牵引挂车；</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222222"/>
          <w:szCs w:val="21"/>
        </w:rPr>
        <w:t>（4）在驾驶证有效期内未按照中华人民共和国法律、行政法规的规定定期对机动车驾驶证实施审验的或持审验不合格的驾驶证，以及在暂扣、扣留、吊销、注销驾驶证期间驾驶机动车；</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222222"/>
          <w:szCs w:val="21"/>
        </w:rPr>
        <w:t>（5）使用各种专用机械车、特种车的人员无国家有关部门核发的有效操作证，驾驶营业性车辆的驾驶人无国家有关部门核发的有效资格证书；</w:t>
      </w:r>
    </w:p>
    <w:p>
      <w:pPr>
        <w:pStyle w:val="10"/>
        <w:shd w:val="clear" w:color="auto" w:fill="FFFFFF"/>
        <w:adjustRightInd w:val="0"/>
        <w:snapToGrid w:val="0"/>
        <w:spacing w:before="0" w:beforeAutospacing="0" w:after="156" w:afterLines="50" w:afterAutospacing="0"/>
        <w:ind w:firstLine="420" w:firstLineChars="200"/>
        <w:jc w:val="both"/>
        <w:rPr>
          <w:rFonts w:asciiTheme="minorEastAsia" w:hAnsiTheme="minorEastAsia" w:eastAsiaTheme="minorEastAsia" w:cstheme="minorEastAsia"/>
          <w:color w:val="222222"/>
          <w:kern w:val="2"/>
          <w:sz w:val="21"/>
          <w:szCs w:val="21"/>
        </w:rPr>
      </w:pPr>
      <w:r>
        <w:rPr>
          <w:rFonts w:hint="eastAsia" w:asciiTheme="minorEastAsia" w:hAnsiTheme="minorEastAsia" w:eastAsiaTheme="minorEastAsia" w:cstheme="minorEastAsia"/>
          <w:color w:val="222222"/>
          <w:sz w:val="21"/>
          <w:szCs w:val="21"/>
        </w:rPr>
        <w:t>（6）依照法律法规或公安机关交通管理部门有关规定不允许驾驶机动车的其他情况下驾车</w:t>
      </w:r>
      <w:r>
        <w:rPr>
          <w:rFonts w:hint="eastAsia" w:asciiTheme="minorEastAsia" w:hAnsiTheme="minorEastAsia" w:eastAsiaTheme="minorEastAsia" w:cstheme="minorEastAsia"/>
          <w:color w:val="222222"/>
          <w:kern w:val="2"/>
          <w:sz w:val="21"/>
          <w:szCs w:val="21"/>
        </w:rPr>
        <w:t>。</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222222"/>
          <w:szCs w:val="21"/>
        </w:rPr>
        <w:t>【无合法有效行驶证】</w:t>
      </w:r>
      <w:r>
        <w:rPr>
          <w:rFonts w:hint="eastAsia" w:asciiTheme="minorEastAsia" w:hAnsiTheme="minorEastAsia" w:eastAsiaTheme="minorEastAsia" w:cstheme="minorEastAsia"/>
          <w:color w:val="000000"/>
          <w:szCs w:val="21"/>
        </w:rPr>
        <w:t>指发生保险事故时没有按照公安机关交通管理部门机动车登记制度的规定进行登记并领取机动车行驶证或者临时通行牌证等法定证件。包括下列情形之一</w:t>
      </w:r>
      <w:r>
        <w:rPr>
          <w:rFonts w:hint="eastAsia" w:asciiTheme="minorEastAsia" w:hAnsiTheme="minorEastAsia" w:eastAsiaTheme="minorEastAsia" w:cstheme="minorEastAsia"/>
          <w:kern w:val="0"/>
          <w:szCs w:val="21"/>
        </w:rPr>
        <w:t>：</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222222"/>
          <w:szCs w:val="21"/>
        </w:rPr>
        <w:t>（1）未办理行驶证或者行驶证在申办过程中的；</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222222"/>
          <w:szCs w:val="21"/>
        </w:rPr>
        <w:t>（2）无公安机关交通管理部门核发的行驶证、号牌，或临时号牌或临时移动证的机动交通工具；</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222222"/>
          <w:szCs w:val="21"/>
        </w:rPr>
        <w:t>（3）机动车或机动车行驶证被依法注销登记的或行驶证已过有效期的；</w:t>
      </w:r>
    </w:p>
    <w:p>
      <w:pPr>
        <w:spacing w:after="156" w:afterLines="50"/>
        <w:ind w:firstLine="420" w:firstLineChars="200"/>
        <w:rPr>
          <w:rFonts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222222"/>
          <w:szCs w:val="21"/>
        </w:rPr>
        <w:t>（4）未在行驶证检验有效期内依法按时进行机动车安全技术检验或者未通过机动车安全技术检验的；</w:t>
      </w:r>
    </w:p>
    <w:p>
      <w:pPr>
        <w:pStyle w:val="10"/>
        <w:shd w:val="clear" w:color="auto" w:fill="FFFFFF"/>
        <w:adjustRightInd w:val="0"/>
        <w:snapToGrid w:val="0"/>
        <w:spacing w:before="0" w:beforeAutospacing="0" w:after="156" w:afterLines="50" w:afterAutospacing="0"/>
        <w:ind w:firstLine="420" w:firstLineChars="200"/>
        <w:jc w:val="both"/>
        <w:rPr>
          <w:rFonts w:asciiTheme="minorEastAsia" w:hAnsiTheme="minorEastAsia" w:eastAsiaTheme="minorEastAsia" w:cstheme="minorEastAsia"/>
          <w:color w:val="222222"/>
          <w:kern w:val="2"/>
          <w:sz w:val="21"/>
          <w:szCs w:val="21"/>
        </w:rPr>
      </w:pPr>
      <w:r>
        <w:rPr>
          <w:rFonts w:hint="eastAsia" w:asciiTheme="minorEastAsia" w:hAnsiTheme="minorEastAsia" w:eastAsiaTheme="minorEastAsia" w:cstheme="minorEastAsia"/>
          <w:color w:val="222222"/>
          <w:sz w:val="21"/>
          <w:szCs w:val="21"/>
        </w:rPr>
        <w:t>（5）依照法律法规或公安机关交通管理部门有关规定不允许机动车行驶的其他情况</w:t>
      </w:r>
      <w:r>
        <w:rPr>
          <w:rFonts w:hint="eastAsia" w:asciiTheme="minorEastAsia" w:hAnsiTheme="minorEastAsia" w:eastAsiaTheme="minorEastAsia" w:cstheme="minorEastAsia"/>
          <w:color w:val="222222"/>
          <w:kern w:val="2"/>
          <w:sz w:val="21"/>
          <w:szCs w:val="21"/>
        </w:rPr>
        <w:t>。</w:t>
      </w:r>
    </w:p>
    <w:p>
      <w:pPr>
        <w:pStyle w:val="10"/>
        <w:shd w:val="clear" w:color="auto" w:fill="FFFFFF"/>
        <w:adjustRightInd w:val="0"/>
        <w:snapToGrid w:val="0"/>
        <w:spacing w:before="0" w:beforeAutospacing="0" w:after="156" w:afterLines="50" w:afterAutospacing="0"/>
        <w:ind w:firstLine="420" w:firstLineChars="200"/>
        <w:rPr>
          <w:rFonts w:asciiTheme="minorEastAsia" w:hAnsiTheme="minorEastAsia" w:eastAsiaTheme="minorEastAsia" w:cstheme="minorEastAsia"/>
          <w:color w:val="222222"/>
          <w:kern w:val="2"/>
          <w:sz w:val="21"/>
          <w:szCs w:val="21"/>
        </w:rPr>
      </w:pPr>
      <w:r>
        <w:rPr>
          <w:rFonts w:hint="eastAsia" w:asciiTheme="minorEastAsia" w:hAnsiTheme="minorEastAsia" w:eastAsiaTheme="minorEastAsia" w:cstheme="minorEastAsia"/>
          <w:color w:val="222222"/>
          <w:kern w:val="2"/>
          <w:sz w:val="21"/>
          <w:szCs w:val="21"/>
        </w:rPr>
        <w:t>【机动车】指以动力装置驱动或者牵引，上道路行驶的供人员乘用或者用于运送物品以及进行工程专项作业的轮式车辆。</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【未满期保险费】指本附加合同所具有的价值，通常体现为解除合同时，根据精算原理计算的，由保险人退还的那部分金额。</w:t>
      </w:r>
    </w:p>
    <w:p>
      <w:pPr>
        <w:keepNext w:val="0"/>
        <w:keepLines w:val="0"/>
        <w:pageBreakBefore w:val="0"/>
        <w:kinsoku/>
        <w:wordWrap/>
        <w:overflowPunct/>
        <w:topLinePunct w:val="0"/>
        <w:autoSpaceDE/>
        <w:autoSpaceDN/>
        <w:bidi w:val="0"/>
        <w:adjustRightInd w:val="0"/>
        <w:snapToGrid w:val="0"/>
        <w:spacing w:after="157" w:afterLines="50"/>
        <w:ind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若保险费为一次性支付的：</w:t>
      </w:r>
    </w:p>
    <w:p>
      <w:pPr>
        <w:keepNext w:val="0"/>
        <w:keepLines w:val="0"/>
        <w:pageBreakBefore w:val="0"/>
        <w:kinsoku/>
        <w:wordWrap/>
        <w:overflowPunct/>
        <w:topLinePunct w:val="0"/>
        <w:autoSpaceDE/>
        <w:autoSpaceDN/>
        <w:bidi w:val="0"/>
        <w:spacing w:after="157" w:afterLines="50"/>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未满期保险费=保险费×[1-（保险单已</w:t>
      </w:r>
      <w:r>
        <w:rPr>
          <w:rFonts w:hint="eastAsia" w:ascii="宋体" w:hAnsi="宋体" w:eastAsia="宋体" w:cs="宋体"/>
          <w:kern w:val="0"/>
          <w:sz w:val="21"/>
          <w:szCs w:val="21"/>
          <w:lang w:val="en-US" w:eastAsia="zh-CN"/>
        </w:rPr>
        <w:t>生效</w:t>
      </w:r>
      <w:r>
        <w:rPr>
          <w:rFonts w:hint="eastAsia" w:ascii="宋体" w:hAnsi="宋体" w:eastAsia="宋体" w:cs="宋体"/>
          <w:kern w:val="0"/>
          <w:sz w:val="21"/>
          <w:szCs w:val="21"/>
        </w:rPr>
        <w:t>天数/保险期间</w:t>
      </w:r>
      <w:r>
        <w:rPr>
          <w:rFonts w:hint="eastAsia" w:ascii="宋体" w:hAnsi="宋体" w:eastAsia="宋体" w:cs="宋体"/>
          <w:kern w:val="0"/>
          <w:sz w:val="21"/>
          <w:szCs w:val="21"/>
          <w:lang w:val="en-US" w:eastAsia="zh-CN"/>
        </w:rPr>
        <w:t>的</w:t>
      </w:r>
      <w:r>
        <w:rPr>
          <w:rFonts w:hint="eastAsia" w:ascii="宋体" w:hAnsi="宋体" w:eastAsia="宋体" w:cs="宋体"/>
          <w:kern w:val="0"/>
          <w:sz w:val="21"/>
          <w:szCs w:val="21"/>
        </w:rPr>
        <w:t>天数)]</w:t>
      </w:r>
    </w:p>
    <w:p>
      <w:pPr>
        <w:keepNext w:val="0"/>
        <w:keepLines w:val="0"/>
        <w:pageBreakBefore w:val="0"/>
        <w:kinsoku/>
        <w:wordWrap/>
        <w:overflowPunct/>
        <w:topLinePunct w:val="0"/>
        <w:autoSpaceDE/>
        <w:autoSpaceDN/>
        <w:bidi w:val="0"/>
        <w:adjustRightInd w:val="0"/>
        <w:snapToGrid w:val="0"/>
        <w:spacing w:after="157" w:afterLines="50"/>
        <w:ind w:firstLine="420" w:firstLineChars="200"/>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若保险费为分期支付的：</w:t>
      </w:r>
    </w:p>
    <w:p>
      <w:pPr>
        <w:keepNext w:val="0"/>
        <w:keepLines w:val="0"/>
        <w:pageBreakBefore w:val="0"/>
        <w:kinsoku/>
        <w:wordWrap/>
        <w:overflowPunct/>
        <w:topLinePunct w:val="0"/>
        <w:autoSpaceDE/>
        <w:autoSpaceDN/>
        <w:bidi w:val="0"/>
        <w:adjustRightInd w:val="0"/>
        <w:snapToGrid w:val="0"/>
        <w:spacing w:after="157" w:afterLines="50"/>
        <w:ind w:firstLine="420" w:firstLineChars="200"/>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未满期保险费=投保人已交纳当期保险费×[1-(保险单当期已经过天数/当期总天数)]</w:t>
      </w:r>
    </w:p>
    <w:p>
      <w:pPr>
        <w:spacing w:afterLines="50"/>
        <w:ind w:firstLine="422" w:firstLineChars="200"/>
        <w:jc w:val="both"/>
        <w:rPr>
          <w:rFonts w:hint="eastAsia" w:ascii="宋体" w:hAnsi="宋体" w:eastAsia="宋体" w:cs="宋体"/>
          <w:sz w:val="21"/>
          <w:szCs w:val="21"/>
        </w:rPr>
      </w:pPr>
      <w:r>
        <w:rPr>
          <w:rFonts w:hint="eastAsia" w:ascii="宋体" w:hAnsi="宋体" w:eastAsia="宋体" w:cs="宋体"/>
          <w:b/>
          <w:bCs/>
          <w:kern w:val="0"/>
          <w:sz w:val="21"/>
          <w:szCs w:val="21"/>
          <w:lang w:val="en-US" w:eastAsia="zh-CN"/>
        </w:rPr>
        <w:t>已生效或已经过</w:t>
      </w:r>
      <w:r>
        <w:rPr>
          <w:rFonts w:hint="eastAsia" w:ascii="宋体" w:hAnsi="宋体" w:eastAsia="宋体" w:cs="宋体"/>
          <w:b/>
          <w:bCs/>
          <w:kern w:val="0"/>
          <w:sz w:val="21"/>
          <w:szCs w:val="21"/>
        </w:rPr>
        <w:t>天数不足一天的按一天计算。若本</w:t>
      </w:r>
      <w:r>
        <w:rPr>
          <w:rFonts w:hint="eastAsia" w:ascii="宋体" w:hAnsi="宋体" w:eastAsia="宋体" w:cs="宋体"/>
          <w:b/>
          <w:bCs/>
          <w:kern w:val="0"/>
          <w:sz w:val="21"/>
          <w:szCs w:val="21"/>
          <w:lang w:val="en-US" w:eastAsia="zh-CN"/>
        </w:rPr>
        <w:t>保险</w:t>
      </w:r>
      <w:r>
        <w:rPr>
          <w:rFonts w:hint="eastAsia" w:ascii="宋体" w:hAnsi="宋体" w:eastAsia="宋体" w:cs="宋体"/>
          <w:b/>
          <w:bCs/>
          <w:kern w:val="0"/>
          <w:sz w:val="21"/>
          <w:szCs w:val="21"/>
        </w:rPr>
        <w:t>合同已发生保险金</w:t>
      </w:r>
      <w:r>
        <w:rPr>
          <w:rFonts w:hint="eastAsia" w:ascii="宋体" w:hAnsi="宋体" w:eastAsia="宋体" w:cs="宋体"/>
          <w:b/>
          <w:bCs/>
          <w:kern w:val="0"/>
          <w:sz w:val="21"/>
          <w:szCs w:val="21"/>
          <w:lang w:val="en-US" w:eastAsia="zh-CN"/>
        </w:rPr>
        <w:t>赔付</w:t>
      </w:r>
      <w:r>
        <w:rPr>
          <w:rFonts w:hint="eastAsia" w:ascii="宋体" w:hAnsi="宋体" w:eastAsia="宋体" w:cs="宋体"/>
          <w:b/>
          <w:bCs/>
          <w:kern w:val="0"/>
          <w:sz w:val="21"/>
          <w:szCs w:val="21"/>
        </w:rPr>
        <w:t>，未满期保险费为零。</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Cs/>
          <w:szCs w:val="21"/>
        </w:rPr>
        <w:t>医院</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指国家卫生部医院等级分类中的二级或二级以上公立医院以及保险人扩展承保的医院，</w:t>
      </w:r>
      <w:r>
        <w:rPr>
          <w:rFonts w:hint="eastAsia" w:asciiTheme="minorEastAsia" w:hAnsiTheme="minorEastAsia" w:eastAsiaTheme="minorEastAsia" w:cstheme="minorEastAsia"/>
          <w:b/>
          <w:bCs/>
          <w:szCs w:val="21"/>
        </w:rPr>
        <w:t>但前述医院不包括单独作为诊所、康复、护理、疗养、戒酒、戒毒等或相类似的医疗机构或保险人不予承保的医院。</w:t>
      </w:r>
      <w:r>
        <w:rPr>
          <w:rFonts w:hint="eastAsia" w:asciiTheme="minorEastAsia" w:hAnsiTheme="minorEastAsia" w:eastAsiaTheme="minorEastAsia" w:cstheme="minorEastAsia"/>
          <w:szCs w:val="21"/>
        </w:rPr>
        <w:t>同时该医院必须具有符合有关医院管理规定设置标准的医疗设备，并且全日二十四小时有合格医师及护士驻院提供医疗和护理等服务。</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注：保险人扩展承保的医院名单和保险人不予承保的医院名单将在保险单中载明。保险人保留新增扩展承保医院的权利。对于新增后的扩展承保医院名单，保险人将会在泰康在线官方渠道（包括但不限于官网、官微）公示</w:t>
      </w:r>
      <w:r>
        <w:rPr>
          <w:rFonts w:hint="eastAsia" w:asciiTheme="minorEastAsia" w:hAnsiTheme="minorEastAsia" w:eastAsiaTheme="minorEastAsia" w:cstheme="minorEastAsia"/>
          <w:szCs w:val="21"/>
        </w:rPr>
        <w:t>。</w:t>
      </w:r>
    </w:p>
    <w:p>
      <w:pPr>
        <w:autoSpaceDE w:val="0"/>
        <w:autoSpaceDN w:val="0"/>
        <w:spacing w:after="156" w:afterLines="50"/>
        <w:ind w:firstLine="422" w:firstLineChars="200"/>
        <w:jc w:val="left"/>
        <w:textAlignment w:val="bottom"/>
        <w:rPr>
          <w:rFonts w:ascii="宋体" w:hAnsi="宋体" w:cs="宋体"/>
          <w:szCs w:val="21"/>
        </w:rPr>
      </w:pPr>
      <w:r>
        <w:rPr>
          <w:rFonts w:hint="eastAsia" w:asciiTheme="minorEastAsia" w:hAnsiTheme="minorEastAsia" w:eastAsiaTheme="minorEastAsia" w:cstheme="minorEastAsia"/>
          <w:b/>
          <w:szCs w:val="21"/>
        </w:rPr>
        <w:t>本附加合同中未释义名词，以本附加合同所附属主险合同中的释义为准。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01691"/>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A27394"/>
    <w:multiLevelType w:val="singleLevel"/>
    <w:tmpl w:val="F6A27394"/>
    <w:lvl w:ilvl="0" w:tentative="0">
      <w:start w:val="1"/>
      <w:numFmt w:val="chineseCounting"/>
      <w:suff w:val="nothing"/>
      <w:lvlText w:val="（%1）"/>
      <w:lvlJc w:val="left"/>
      <w:pPr>
        <w:ind w:left="0" w:firstLine="420"/>
      </w:pPr>
      <w:rPr>
        <w:rFonts w:hint="eastAsia"/>
      </w:rPr>
    </w:lvl>
  </w:abstractNum>
  <w:abstractNum w:abstractNumId="1">
    <w:nsid w:val="52240635"/>
    <w:multiLevelType w:val="multilevel"/>
    <w:tmpl w:val="52240635"/>
    <w:lvl w:ilvl="0" w:tentative="0">
      <w:start w:val="1"/>
      <w:numFmt w:val="japaneseCounting"/>
      <w:lvlText w:val="第%1条"/>
      <w:lvlJc w:val="left"/>
      <w:pPr>
        <w:ind w:left="842" w:hanging="420"/>
      </w:pPr>
      <w:rPr>
        <w:rFonts w:hint="default" w:ascii="宋体" w:hAnsi="宋体" w:eastAsia="宋体"/>
        <w:b/>
        <w:color w:val="auto"/>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7DC257A0"/>
    <w:multiLevelType w:val="multilevel"/>
    <w:tmpl w:val="7DC257A0"/>
    <w:lvl w:ilvl="0" w:tentative="0">
      <w:start w:val="1"/>
      <w:numFmt w:val="chineseCountingThousand"/>
      <w:pStyle w:val="21"/>
      <w:suff w:val="nothing"/>
      <w:lvlText w:val="第%1条    "/>
      <w:lvlJc w:val="left"/>
      <w:pPr>
        <w:ind w:left="3397" w:hanging="420"/>
      </w:pPr>
      <w:rPr>
        <w:rFonts w:hint="eastAsia"/>
        <w:b/>
        <w:bCs/>
        <w:color w:val="auto"/>
        <w:sz w:val="21"/>
        <w:szCs w:val="21"/>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813"/>
    <w:rsid w:val="00045988"/>
    <w:rsid w:val="000E0782"/>
    <w:rsid w:val="00116018"/>
    <w:rsid w:val="0015359B"/>
    <w:rsid w:val="00172A27"/>
    <w:rsid w:val="001735A7"/>
    <w:rsid w:val="001A7925"/>
    <w:rsid w:val="001B2CA4"/>
    <w:rsid w:val="002318F8"/>
    <w:rsid w:val="00236368"/>
    <w:rsid w:val="00253842"/>
    <w:rsid w:val="00326FAD"/>
    <w:rsid w:val="003910A1"/>
    <w:rsid w:val="003C5EAF"/>
    <w:rsid w:val="004139C5"/>
    <w:rsid w:val="004905FE"/>
    <w:rsid w:val="004A30DE"/>
    <w:rsid w:val="004A7CF3"/>
    <w:rsid w:val="00554231"/>
    <w:rsid w:val="005A2ED9"/>
    <w:rsid w:val="005D678C"/>
    <w:rsid w:val="00627083"/>
    <w:rsid w:val="00677B95"/>
    <w:rsid w:val="00696E60"/>
    <w:rsid w:val="006A225F"/>
    <w:rsid w:val="006E7046"/>
    <w:rsid w:val="00770E08"/>
    <w:rsid w:val="007C4626"/>
    <w:rsid w:val="007C68EE"/>
    <w:rsid w:val="007D717B"/>
    <w:rsid w:val="007D7C56"/>
    <w:rsid w:val="007E727D"/>
    <w:rsid w:val="007F6E17"/>
    <w:rsid w:val="00810376"/>
    <w:rsid w:val="008336F8"/>
    <w:rsid w:val="00867912"/>
    <w:rsid w:val="00892AB8"/>
    <w:rsid w:val="00900DA0"/>
    <w:rsid w:val="00930A62"/>
    <w:rsid w:val="009C51FE"/>
    <w:rsid w:val="009E03E0"/>
    <w:rsid w:val="00A3728D"/>
    <w:rsid w:val="00AA6ED9"/>
    <w:rsid w:val="00B01318"/>
    <w:rsid w:val="00B5438C"/>
    <w:rsid w:val="00B605F8"/>
    <w:rsid w:val="00BB5176"/>
    <w:rsid w:val="00BC6C20"/>
    <w:rsid w:val="00C2155F"/>
    <w:rsid w:val="00CC65C9"/>
    <w:rsid w:val="00CF2F5D"/>
    <w:rsid w:val="00D20312"/>
    <w:rsid w:val="00D429FB"/>
    <w:rsid w:val="00D445D7"/>
    <w:rsid w:val="00D70F4F"/>
    <w:rsid w:val="00DF0E63"/>
    <w:rsid w:val="00EB5476"/>
    <w:rsid w:val="00ED0641"/>
    <w:rsid w:val="00F06597"/>
    <w:rsid w:val="00F552D6"/>
    <w:rsid w:val="00F8043A"/>
    <w:rsid w:val="00FC1BD8"/>
    <w:rsid w:val="00FC7732"/>
    <w:rsid w:val="00FF1394"/>
    <w:rsid w:val="01B85EFD"/>
    <w:rsid w:val="02371449"/>
    <w:rsid w:val="038D6200"/>
    <w:rsid w:val="03C476A0"/>
    <w:rsid w:val="044538F5"/>
    <w:rsid w:val="0501085C"/>
    <w:rsid w:val="051107BF"/>
    <w:rsid w:val="06140F0F"/>
    <w:rsid w:val="06F47627"/>
    <w:rsid w:val="081D2CE0"/>
    <w:rsid w:val="0A3E4F17"/>
    <w:rsid w:val="0AF64AE8"/>
    <w:rsid w:val="0B5015F2"/>
    <w:rsid w:val="0D5F0E1A"/>
    <w:rsid w:val="0E2E570D"/>
    <w:rsid w:val="0E3D5535"/>
    <w:rsid w:val="0EB35544"/>
    <w:rsid w:val="112743EB"/>
    <w:rsid w:val="11C83CDB"/>
    <w:rsid w:val="12A24D0A"/>
    <w:rsid w:val="12E327D8"/>
    <w:rsid w:val="14FE1B5D"/>
    <w:rsid w:val="16C86363"/>
    <w:rsid w:val="16F153DC"/>
    <w:rsid w:val="17001F6B"/>
    <w:rsid w:val="17614320"/>
    <w:rsid w:val="17833488"/>
    <w:rsid w:val="1ACF238A"/>
    <w:rsid w:val="1C497937"/>
    <w:rsid w:val="1D110B9D"/>
    <w:rsid w:val="1E0323FD"/>
    <w:rsid w:val="1EA0306D"/>
    <w:rsid w:val="1ED91CB3"/>
    <w:rsid w:val="1F0F1486"/>
    <w:rsid w:val="1FA00F89"/>
    <w:rsid w:val="21F66E95"/>
    <w:rsid w:val="22743113"/>
    <w:rsid w:val="22762667"/>
    <w:rsid w:val="2445087F"/>
    <w:rsid w:val="24A338D1"/>
    <w:rsid w:val="259F7D3A"/>
    <w:rsid w:val="25F03075"/>
    <w:rsid w:val="26DC2BE9"/>
    <w:rsid w:val="27235BB0"/>
    <w:rsid w:val="2858516B"/>
    <w:rsid w:val="286E0901"/>
    <w:rsid w:val="28993F5A"/>
    <w:rsid w:val="289A3732"/>
    <w:rsid w:val="29F45186"/>
    <w:rsid w:val="2A05113A"/>
    <w:rsid w:val="2AA41CE7"/>
    <w:rsid w:val="2BCC4014"/>
    <w:rsid w:val="2BF43BAA"/>
    <w:rsid w:val="2D9C2B25"/>
    <w:rsid w:val="2EDA3C70"/>
    <w:rsid w:val="2F2A08CD"/>
    <w:rsid w:val="301636DF"/>
    <w:rsid w:val="30A27337"/>
    <w:rsid w:val="31880C10"/>
    <w:rsid w:val="31C24FFC"/>
    <w:rsid w:val="33CD0992"/>
    <w:rsid w:val="34A71472"/>
    <w:rsid w:val="3504695D"/>
    <w:rsid w:val="36C7136F"/>
    <w:rsid w:val="388A738C"/>
    <w:rsid w:val="3A7213FF"/>
    <w:rsid w:val="3C140431"/>
    <w:rsid w:val="3CA14F4F"/>
    <w:rsid w:val="3CAE4825"/>
    <w:rsid w:val="3D3C2843"/>
    <w:rsid w:val="3F406E98"/>
    <w:rsid w:val="3F881F06"/>
    <w:rsid w:val="3FC62B18"/>
    <w:rsid w:val="418D3595"/>
    <w:rsid w:val="42460EF0"/>
    <w:rsid w:val="42CD7E01"/>
    <w:rsid w:val="43A76F5A"/>
    <w:rsid w:val="4D2F19EA"/>
    <w:rsid w:val="4E5827BC"/>
    <w:rsid w:val="517B382D"/>
    <w:rsid w:val="52C31889"/>
    <w:rsid w:val="540E7181"/>
    <w:rsid w:val="543125FC"/>
    <w:rsid w:val="56A06327"/>
    <w:rsid w:val="57C45F1B"/>
    <w:rsid w:val="58045572"/>
    <w:rsid w:val="590B0069"/>
    <w:rsid w:val="5A8F0F26"/>
    <w:rsid w:val="5B787FF6"/>
    <w:rsid w:val="5BF53BC7"/>
    <w:rsid w:val="5C9F112F"/>
    <w:rsid w:val="5CCA3BEB"/>
    <w:rsid w:val="5D257380"/>
    <w:rsid w:val="5DC0173C"/>
    <w:rsid w:val="5E402508"/>
    <w:rsid w:val="5ECD6D96"/>
    <w:rsid w:val="60D25C2E"/>
    <w:rsid w:val="623209FC"/>
    <w:rsid w:val="649B1AC6"/>
    <w:rsid w:val="680454F6"/>
    <w:rsid w:val="68E35F46"/>
    <w:rsid w:val="69BC4140"/>
    <w:rsid w:val="69D53194"/>
    <w:rsid w:val="6A7564FA"/>
    <w:rsid w:val="6E416C6B"/>
    <w:rsid w:val="6EA86333"/>
    <w:rsid w:val="6F761900"/>
    <w:rsid w:val="702E0D5B"/>
    <w:rsid w:val="712A7F71"/>
    <w:rsid w:val="718A782C"/>
    <w:rsid w:val="74E227AA"/>
    <w:rsid w:val="75B70FBA"/>
    <w:rsid w:val="75E60DE4"/>
    <w:rsid w:val="779F1E78"/>
    <w:rsid w:val="78420025"/>
    <w:rsid w:val="792B1C6F"/>
    <w:rsid w:val="7A4313E6"/>
    <w:rsid w:val="7C4D5A65"/>
    <w:rsid w:val="7D396D61"/>
    <w:rsid w:val="7DD078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3">
    <w:name w:val="Document Map"/>
    <w:basedOn w:val="1"/>
    <w:link w:val="24"/>
    <w:semiHidden/>
    <w:unhideWhenUsed/>
    <w:qFormat/>
    <w:uiPriority w:val="99"/>
    <w:rPr>
      <w:rFonts w:ascii="宋体"/>
      <w:sz w:val="18"/>
      <w:szCs w:val="18"/>
    </w:rPr>
  </w:style>
  <w:style w:type="paragraph" w:styleId="4">
    <w:name w:val="annotation text"/>
    <w:basedOn w:val="1"/>
    <w:link w:val="26"/>
    <w:unhideWhenUsed/>
    <w:qFormat/>
    <w:uiPriority w:val="99"/>
  </w:style>
  <w:style w:type="paragraph" w:styleId="5">
    <w:name w:val="Body Text Indent"/>
    <w:basedOn w:val="1"/>
    <w:link w:val="19"/>
    <w:unhideWhenUsed/>
    <w:qFormat/>
    <w:uiPriority w:val="99"/>
    <w:pPr>
      <w:spacing w:after="120"/>
      <w:ind w:left="420" w:leftChars="200"/>
    </w:pPr>
  </w:style>
  <w:style w:type="paragraph" w:styleId="6">
    <w:name w:val="Plain Text"/>
    <w:basedOn w:val="1"/>
    <w:qFormat/>
    <w:uiPriority w:val="99"/>
    <w:rPr>
      <w:rFonts w:ascii="宋体" w:hAnsi="Courier New" w:cs="宋体"/>
    </w:rPr>
  </w:style>
  <w:style w:type="paragraph" w:styleId="7">
    <w:name w:val="Balloon Text"/>
    <w:basedOn w:val="1"/>
    <w:link w:val="22"/>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18"/>
    <w:qFormat/>
    <w:uiPriority w:val="0"/>
    <w:pPr>
      <w:spacing w:before="240" w:after="60"/>
      <w:jc w:val="center"/>
      <w:outlineLvl w:val="0"/>
    </w:pPr>
    <w:rPr>
      <w:rFonts w:ascii="Cambria" w:hAnsi="Cambria"/>
      <w:b/>
      <w:bCs/>
      <w:sz w:val="32"/>
      <w:szCs w:val="32"/>
    </w:rPr>
  </w:style>
  <w:style w:type="paragraph" w:styleId="12">
    <w:name w:val="annotation subject"/>
    <w:basedOn w:val="4"/>
    <w:next w:val="4"/>
    <w:link w:val="27"/>
    <w:semiHidden/>
    <w:unhideWhenUsed/>
    <w:qFormat/>
    <w:uiPriority w:val="99"/>
    <w:pPr>
      <w:jc w:val="left"/>
    </w:pPr>
    <w:rPr>
      <w:b/>
      <w:bCs/>
    </w:r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9"/>
    <w:semiHidden/>
    <w:qFormat/>
    <w:uiPriority w:val="99"/>
    <w:rPr>
      <w:sz w:val="18"/>
      <w:szCs w:val="18"/>
    </w:rPr>
  </w:style>
  <w:style w:type="character" w:customStyle="1" w:styleId="17">
    <w:name w:val="页脚 字符"/>
    <w:basedOn w:val="14"/>
    <w:link w:val="8"/>
    <w:qFormat/>
    <w:uiPriority w:val="99"/>
    <w:rPr>
      <w:sz w:val="18"/>
      <w:szCs w:val="18"/>
    </w:rPr>
  </w:style>
  <w:style w:type="character" w:customStyle="1" w:styleId="18">
    <w:name w:val="标题 字符"/>
    <w:basedOn w:val="14"/>
    <w:link w:val="11"/>
    <w:qFormat/>
    <w:uiPriority w:val="0"/>
    <w:rPr>
      <w:rFonts w:ascii="Cambria" w:hAnsi="Cambria" w:eastAsia="宋体" w:cs="Times New Roman"/>
      <w:b/>
      <w:bCs/>
      <w:sz w:val="32"/>
      <w:szCs w:val="32"/>
    </w:rPr>
  </w:style>
  <w:style w:type="character" w:customStyle="1" w:styleId="19">
    <w:name w:val="正文文本缩进 字符"/>
    <w:basedOn w:val="14"/>
    <w:link w:val="5"/>
    <w:qFormat/>
    <w:uiPriority w:val="99"/>
    <w:rPr>
      <w:rFonts w:ascii="Times New Roman" w:hAnsi="Times New Roman" w:eastAsia="宋体" w:cs="Times New Roman"/>
      <w:szCs w:val="24"/>
    </w:rPr>
  </w:style>
  <w:style w:type="paragraph" w:customStyle="1" w:styleId="20">
    <w:name w:val="条款正文"/>
    <w:basedOn w:val="1"/>
    <w:qFormat/>
    <w:uiPriority w:val="0"/>
    <w:pPr>
      <w:adjustRightInd w:val="0"/>
      <w:snapToGrid w:val="0"/>
      <w:ind w:left="840" w:leftChars="400" w:firstLine="420" w:firstLineChars="200"/>
    </w:pPr>
    <w:rPr>
      <w:szCs w:val="20"/>
    </w:rPr>
  </w:style>
  <w:style w:type="paragraph" w:customStyle="1" w:styleId="21">
    <w:name w:val="样式1"/>
    <w:basedOn w:val="1"/>
    <w:qFormat/>
    <w:uiPriority w:val="99"/>
    <w:pPr>
      <w:numPr>
        <w:ilvl w:val="0"/>
        <w:numId w:val="1"/>
      </w:numPr>
      <w:ind w:left="2547"/>
    </w:pPr>
    <w:rPr>
      <w:rFonts w:ascii="Calibri" w:hAnsi="Calibri" w:cs="Calibri"/>
      <w:szCs w:val="21"/>
    </w:rPr>
  </w:style>
  <w:style w:type="character" w:customStyle="1" w:styleId="22">
    <w:name w:val="批注框文本 字符"/>
    <w:basedOn w:val="14"/>
    <w:link w:val="7"/>
    <w:semiHidden/>
    <w:qFormat/>
    <w:uiPriority w:val="99"/>
    <w:rPr>
      <w:rFonts w:ascii="Times New Roman" w:hAnsi="Times New Roman" w:eastAsia="宋体" w:cs="Times New Roman"/>
      <w:sz w:val="18"/>
      <w:szCs w:val="18"/>
    </w:r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文档结构图 字符"/>
    <w:basedOn w:val="14"/>
    <w:link w:val="3"/>
    <w:semiHidden/>
    <w:qFormat/>
    <w:uiPriority w:val="99"/>
    <w:rPr>
      <w:rFonts w:ascii="宋体" w:hAnsi="Times New Roman" w:eastAsia="宋体" w:cs="Times New Roman"/>
      <w:kern w:val="2"/>
      <w:sz w:val="18"/>
      <w:szCs w:val="18"/>
    </w:rPr>
  </w:style>
  <w:style w:type="paragraph" w:customStyle="1" w:styleId="2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6">
    <w:name w:val="批注文字 字符"/>
    <w:basedOn w:val="14"/>
    <w:link w:val="4"/>
    <w:qFormat/>
    <w:uiPriority w:val="99"/>
    <w:rPr>
      <w:rFonts w:ascii="Times New Roman" w:hAnsi="Times New Roman" w:eastAsia="宋体" w:cs="Times New Roman"/>
      <w:kern w:val="2"/>
      <w:sz w:val="21"/>
      <w:szCs w:val="24"/>
    </w:rPr>
  </w:style>
  <w:style w:type="character" w:customStyle="1" w:styleId="27">
    <w:name w:val="批注主题 字符"/>
    <w:basedOn w:val="26"/>
    <w:link w:val="12"/>
    <w:qFormat/>
    <w:uiPriority w:val="0"/>
    <w:rPr>
      <w:rFonts w:ascii="Times New Roman" w:hAnsi="Times New Roman" w:eastAsia="宋体" w:cs="Times New Roman"/>
      <w:kern w:val="2"/>
      <w:sz w:val="21"/>
      <w:szCs w:val="24"/>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601</Words>
  <Characters>3432</Characters>
  <Lines>28</Lines>
  <Paragraphs>8</Paragraphs>
  <TotalTime>1</TotalTime>
  <ScaleCrop>false</ScaleCrop>
  <LinksUpToDate>false</LinksUpToDate>
  <CharactersWithSpaces>4025</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2018-03-21T09:17:00Z</dcterms:created>
  <dc:creator>xuwenjing</dc:creator>
  <cp:lastModifiedBy>靳磊杰</cp:lastModifiedBy>
  <dcterms:modified xsi:type="dcterms:W3CDTF">2023-03-16T09:33:38Z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ies>
</file>